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6D94E" w14:textId="77777777" w:rsidR="00D53C1E" w:rsidRDefault="00D53C1E">
      <w:pPr>
        <w:rPr>
          <w:rFonts w:ascii="Arial" w:hAnsi="Arial" w:cs="Arial"/>
          <w:color w:val="000000"/>
          <w:lang w:val="en-US"/>
        </w:rPr>
      </w:pPr>
    </w:p>
    <w:p w14:paraId="6127706A" w14:textId="77777777" w:rsidR="00D53C1E" w:rsidRDefault="00D53C1E">
      <w:pPr>
        <w:rPr>
          <w:rFonts w:ascii="Arial" w:hAnsi="Arial" w:cs="Arial"/>
          <w:color w:val="000000"/>
          <w:lang w:val="en-US"/>
        </w:rPr>
      </w:pPr>
    </w:p>
    <w:p w14:paraId="0E46C550" w14:textId="4026C08A" w:rsidR="00F7773D" w:rsidRPr="004B3565" w:rsidRDefault="004B3565">
      <w:pPr>
        <w:rPr>
          <w:color w:val="000000"/>
          <w:lang w:val="en-US"/>
        </w:rPr>
      </w:pPr>
      <w:r w:rsidRPr="004B3565">
        <w:rPr>
          <w:color w:val="000000"/>
          <w:lang w:val="en-US"/>
        </w:rPr>
        <w:t>1</w:t>
      </w:r>
      <w:r>
        <w:rPr>
          <w:color w:val="000000"/>
          <w:lang w:val="en-US"/>
        </w:rPr>
        <w:t xml:space="preserve">. </w:t>
      </w:r>
      <w:r w:rsidR="00D53C1E" w:rsidRPr="004B3565">
        <w:rPr>
          <w:color w:val="000000"/>
          <w:lang w:val="en-US"/>
        </w:rPr>
        <w:t xml:space="preserve">A testing company is checking to see whether there is any significant difference in the coverage of two different brands of paint for a hardware store chain. The results are summarized below. </w:t>
      </w:r>
      <w:r w:rsidR="00D53C1E" w:rsidRPr="004B3565">
        <w:rPr>
          <w:color w:val="000000"/>
          <w:lang w:val="en-US"/>
        </w:rPr>
        <w:br/>
        <w:t>Amazon Paint Coverup Paint</w:t>
      </w:r>
      <w:r w:rsidR="00D53C1E" w:rsidRPr="004B3565">
        <w:rPr>
          <w:color w:val="000000"/>
          <w:lang w:val="en-US"/>
        </w:rPr>
        <w:br/>
        <w:t>Sample mean coverage (in square feet) 305 295</w:t>
      </w:r>
      <w:r w:rsidR="00D53C1E" w:rsidRPr="004B3565">
        <w:rPr>
          <w:color w:val="000000"/>
          <w:lang w:val="en-US"/>
        </w:rPr>
        <w:br/>
        <w:t>Population standard deviation 20 25</w:t>
      </w:r>
      <w:r w:rsidR="00D53C1E" w:rsidRPr="004B3565">
        <w:rPr>
          <w:color w:val="000000"/>
          <w:lang w:val="en-US"/>
        </w:rPr>
        <w:br/>
        <w:t>Sample Size 40 45</w:t>
      </w:r>
    </w:p>
    <w:p w14:paraId="03E5EF55" w14:textId="53AB6FD3" w:rsidR="00D53C1E" w:rsidRPr="004B3565" w:rsidRDefault="004B3565">
      <w:pPr>
        <w:rPr>
          <w:color w:val="000000"/>
          <w:lang w:val="en-US"/>
        </w:rPr>
      </w:pPr>
      <w:r>
        <w:rPr>
          <w:color w:val="000000"/>
          <w:lang w:val="en-US"/>
        </w:rPr>
        <w:t xml:space="preserve">Conduct </w:t>
      </w:r>
      <w:r w:rsidR="00D53C1E" w:rsidRPr="004B3565">
        <w:rPr>
          <w:color w:val="000000"/>
          <w:lang w:val="en-US"/>
        </w:rPr>
        <w:t xml:space="preserve">a two-tailed test is used with a </w:t>
      </w:r>
      <w:r>
        <w:rPr>
          <w:color w:val="000000"/>
          <w:lang w:val="en-US"/>
        </w:rPr>
        <w:t>0</w:t>
      </w:r>
      <w:r w:rsidR="00D53C1E" w:rsidRPr="004B3565">
        <w:rPr>
          <w:color w:val="000000"/>
          <w:lang w:val="en-US"/>
        </w:rPr>
        <w:t>.05 level of significance</w:t>
      </w:r>
      <w:r>
        <w:rPr>
          <w:color w:val="000000"/>
          <w:lang w:val="en-US"/>
        </w:rPr>
        <w:t>.</w:t>
      </w:r>
    </w:p>
    <w:p w14:paraId="56F88681" w14:textId="174CE373" w:rsidR="004B3565" w:rsidRPr="004B3565" w:rsidRDefault="004B3565">
      <w:pPr>
        <w:rPr>
          <w:color w:val="000000"/>
          <w:lang w:val="en-US"/>
        </w:rPr>
      </w:pPr>
    </w:p>
    <w:p w14:paraId="7BBE76E2" w14:textId="37BFB4D4" w:rsidR="004B3565" w:rsidRPr="004B3565" w:rsidRDefault="004B3565">
      <w:pPr>
        <w:rPr>
          <w:color w:val="424242"/>
          <w:shd w:val="clear" w:color="auto" w:fill="EDEDED"/>
          <w:lang w:val="en-US"/>
        </w:rPr>
      </w:pPr>
      <w:r>
        <w:rPr>
          <w:color w:val="424242"/>
          <w:lang w:val="en-US"/>
        </w:rPr>
        <w:t xml:space="preserve">2. </w:t>
      </w:r>
      <w:r w:rsidRPr="004B3565">
        <w:rPr>
          <w:color w:val="424242"/>
          <w:lang w:val="en-US"/>
        </w:rPr>
        <w:t>A drug trial is attempted using a real drug and a pill made of just sugar. 18 people are given the real drug in hopes of increasing the production of endorphins. The increase in endorphins is found to be on average 8 micrograms per person, and the sample standard deviation is 5.4 micrograms. 11 people are given the sugar pill, and their average endorphin increase is 4 micrograms with a standard deviation of 2.4. From previous research on endorphins it is determined that it can be assumed that the variances within the two samples can be assumed to be the same. Test at 5% to see if the population mean for the real drug had a significantly greater impact on the endorphins than the population mean with the sugar pill.</w:t>
      </w:r>
    </w:p>
    <w:p w14:paraId="5F49B1FD" w14:textId="5B80DC7D" w:rsidR="004B3565" w:rsidRPr="004B3565" w:rsidRDefault="00B40B2B" w:rsidP="004B3565">
      <w:pPr>
        <w:spacing w:before="100" w:beforeAutospacing="1" w:after="100" w:afterAutospacing="1"/>
        <w:rPr>
          <w:color w:val="424242"/>
          <w:lang w:val="en-US"/>
        </w:rPr>
      </w:pPr>
      <w:r>
        <w:rPr>
          <w:color w:val="424242"/>
          <w:lang w:val="en-US"/>
        </w:rPr>
        <w:t>3</w:t>
      </w:r>
      <w:r w:rsidR="004B3565">
        <w:rPr>
          <w:color w:val="424242"/>
          <w:lang w:val="en-US"/>
        </w:rPr>
        <w:t xml:space="preserve">. </w:t>
      </w:r>
      <w:r w:rsidR="004B3565" w:rsidRPr="004B3565">
        <w:rPr>
          <w:color w:val="424242"/>
          <w:lang w:val="en-US"/>
        </w:rPr>
        <w:t xml:space="preserve">A study was conducted to investigate the effectiveness of hypnotism in reducing pain. Results for randomly selected subjects are shown </w:t>
      </w:r>
      <w:r w:rsidR="004B3565">
        <w:rPr>
          <w:color w:val="424242"/>
          <w:lang w:val="en-US"/>
        </w:rPr>
        <w:t>in the table below</w:t>
      </w:r>
      <w:r w:rsidR="004B3565" w:rsidRPr="004B3565">
        <w:rPr>
          <w:color w:val="424242"/>
          <w:lang w:val="en-US"/>
        </w:rPr>
        <w:t>. A lower score indicates less pain. The "before" value is matched to an "after" value and the differences are calculated. Are the sensory measurements, on average, lower after hypnotism? Test at a 5% significance level.</w:t>
      </w:r>
    </w:p>
    <w:tbl>
      <w:tblPr>
        <w:tblW w:w="8420" w:type="dxa"/>
        <w:shd w:val="clear" w:color="auto" w:fill="EDEDED"/>
        <w:tblCellMar>
          <w:top w:w="15" w:type="dxa"/>
          <w:left w:w="15" w:type="dxa"/>
          <w:bottom w:w="15" w:type="dxa"/>
          <w:right w:w="15" w:type="dxa"/>
        </w:tblCellMar>
        <w:tblLook w:val="04A0" w:firstRow="1" w:lastRow="0" w:firstColumn="1" w:lastColumn="0" w:noHBand="0" w:noVBand="1"/>
        <w:tblDescription w:val="Table 10.5  "/>
      </w:tblPr>
      <w:tblGrid>
        <w:gridCol w:w="1247"/>
        <w:gridCol w:w="880"/>
        <w:gridCol w:w="850"/>
        <w:gridCol w:w="851"/>
        <w:gridCol w:w="872"/>
        <w:gridCol w:w="970"/>
        <w:gridCol w:w="993"/>
        <w:gridCol w:w="850"/>
        <w:gridCol w:w="907"/>
      </w:tblGrid>
      <w:tr w:rsidR="004B3565" w:rsidRPr="004B3565" w14:paraId="34379840" w14:textId="77777777" w:rsidTr="004B3565">
        <w:trPr>
          <w:tblHeader/>
        </w:trPr>
        <w:tc>
          <w:tcPr>
            <w:tcW w:w="1247" w:type="dxa"/>
            <w:shd w:val="clear" w:color="auto" w:fill="auto"/>
            <w:tcMar>
              <w:top w:w="120" w:type="dxa"/>
              <w:left w:w="240" w:type="dxa"/>
              <w:bottom w:w="120" w:type="dxa"/>
              <w:right w:w="240" w:type="dxa"/>
            </w:tcMar>
            <w:vAlign w:val="bottom"/>
            <w:hideMark/>
          </w:tcPr>
          <w:p w14:paraId="293E27C1"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Subject:</w:t>
            </w:r>
          </w:p>
        </w:tc>
        <w:tc>
          <w:tcPr>
            <w:tcW w:w="880" w:type="dxa"/>
            <w:shd w:val="clear" w:color="auto" w:fill="auto"/>
            <w:tcMar>
              <w:top w:w="120" w:type="dxa"/>
              <w:left w:w="240" w:type="dxa"/>
              <w:bottom w:w="120" w:type="dxa"/>
              <w:right w:w="240" w:type="dxa"/>
            </w:tcMar>
            <w:vAlign w:val="bottom"/>
            <w:hideMark/>
          </w:tcPr>
          <w:p w14:paraId="5087DFB8"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A</w:t>
            </w:r>
          </w:p>
        </w:tc>
        <w:tc>
          <w:tcPr>
            <w:tcW w:w="850" w:type="dxa"/>
            <w:shd w:val="clear" w:color="auto" w:fill="auto"/>
            <w:tcMar>
              <w:top w:w="120" w:type="dxa"/>
              <w:left w:w="240" w:type="dxa"/>
              <w:bottom w:w="120" w:type="dxa"/>
              <w:right w:w="240" w:type="dxa"/>
            </w:tcMar>
            <w:vAlign w:val="bottom"/>
            <w:hideMark/>
          </w:tcPr>
          <w:p w14:paraId="079E7010"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B</w:t>
            </w:r>
          </w:p>
        </w:tc>
        <w:tc>
          <w:tcPr>
            <w:tcW w:w="851" w:type="dxa"/>
            <w:shd w:val="clear" w:color="auto" w:fill="auto"/>
            <w:tcMar>
              <w:top w:w="120" w:type="dxa"/>
              <w:left w:w="240" w:type="dxa"/>
              <w:bottom w:w="120" w:type="dxa"/>
              <w:right w:w="240" w:type="dxa"/>
            </w:tcMar>
            <w:vAlign w:val="bottom"/>
            <w:hideMark/>
          </w:tcPr>
          <w:p w14:paraId="643DBD99"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C</w:t>
            </w:r>
          </w:p>
        </w:tc>
        <w:tc>
          <w:tcPr>
            <w:tcW w:w="872" w:type="dxa"/>
            <w:shd w:val="clear" w:color="auto" w:fill="auto"/>
            <w:tcMar>
              <w:top w:w="120" w:type="dxa"/>
              <w:left w:w="240" w:type="dxa"/>
              <w:bottom w:w="120" w:type="dxa"/>
              <w:right w:w="240" w:type="dxa"/>
            </w:tcMar>
            <w:vAlign w:val="bottom"/>
            <w:hideMark/>
          </w:tcPr>
          <w:p w14:paraId="2F9F81BB"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D</w:t>
            </w:r>
          </w:p>
        </w:tc>
        <w:tc>
          <w:tcPr>
            <w:tcW w:w="970" w:type="dxa"/>
            <w:shd w:val="clear" w:color="auto" w:fill="auto"/>
            <w:tcMar>
              <w:top w:w="120" w:type="dxa"/>
              <w:left w:w="240" w:type="dxa"/>
              <w:bottom w:w="120" w:type="dxa"/>
              <w:right w:w="240" w:type="dxa"/>
            </w:tcMar>
            <w:vAlign w:val="bottom"/>
            <w:hideMark/>
          </w:tcPr>
          <w:p w14:paraId="1540B309"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E</w:t>
            </w:r>
          </w:p>
        </w:tc>
        <w:tc>
          <w:tcPr>
            <w:tcW w:w="993" w:type="dxa"/>
            <w:shd w:val="clear" w:color="auto" w:fill="auto"/>
            <w:tcMar>
              <w:top w:w="120" w:type="dxa"/>
              <w:left w:w="240" w:type="dxa"/>
              <w:bottom w:w="120" w:type="dxa"/>
              <w:right w:w="240" w:type="dxa"/>
            </w:tcMar>
            <w:vAlign w:val="bottom"/>
            <w:hideMark/>
          </w:tcPr>
          <w:p w14:paraId="6E211A69"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F</w:t>
            </w:r>
          </w:p>
        </w:tc>
        <w:tc>
          <w:tcPr>
            <w:tcW w:w="850" w:type="dxa"/>
            <w:shd w:val="clear" w:color="auto" w:fill="auto"/>
            <w:tcMar>
              <w:top w:w="120" w:type="dxa"/>
              <w:left w:w="240" w:type="dxa"/>
              <w:bottom w:w="120" w:type="dxa"/>
              <w:right w:w="240" w:type="dxa"/>
            </w:tcMar>
            <w:vAlign w:val="bottom"/>
            <w:hideMark/>
          </w:tcPr>
          <w:p w14:paraId="06FF2C8D"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G</w:t>
            </w:r>
          </w:p>
        </w:tc>
        <w:tc>
          <w:tcPr>
            <w:tcW w:w="907" w:type="dxa"/>
            <w:shd w:val="clear" w:color="auto" w:fill="auto"/>
            <w:tcMar>
              <w:top w:w="120" w:type="dxa"/>
              <w:left w:w="240" w:type="dxa"/>
              <w:bottom w:w="120" w:type="dxa"/>
              <w:right w:w="240" w:type="dxa"/>
            </w:tcMar>
            <w:vAlign w:val="bottom"/>
            <w:hideMark/>
          </w:tcPr>
          <w:p w14:paraId="065CE130" w14:textId="77777777" w:rsidR="004B3565" w:rsidRPr="004B3565" w:rsidRDefault="004B3565" w:rsidP="004B3565">
            <w:pPr>
              <w:rPr>
                <w:rFonts w:ascii="Neue Helvetica W01" w:hAnsi="Neue Helvetica W01"/>
                <w:b/>
                <w:bCs/>
                <w:color w:val="424242"/>
                <w:sz w:val="21"/>
                <w:szCs w:val="21"/>
              </w:rPr>
            </w:pPr>
            <w:r w:rsidRPr="004B3565">
              <w:rPr>
                <w:rFonts w:ascii="Neue Helvetica W01" w:hAnsi="Neue Helvetica W01"/>
                <w:b/>
                <w:bCs/>
                <w:color w:val="424242"/>
                <w:sz w:val="21"/>
                <w:szCs w:val="21"/>
              </w:rPr>
              <w:t>H</w:t>
            </w:r>
          </w:p>
        </w:tc>
      </w:tr>
      <w:tr w:rsidR="004B3565" w:rsidRPr="004B3565" w14:paraId="44D6CF8A" w14:textId="77777777" w:rsidTr="004B3565">
        <w:tc>
          <w:tcPr>
            <w:tcW w:w="1247" w:type="dxa"/>
            <w:shd w:val="clear" w:color="auto" w:fill="auto"/>
            <w:tcMar>
              <w:top w:w="120" w:type="dxa"/>
              <w:left w:w="240" w:type="dxa"/>
              <w:bottom w:w="120" w:type="dxa"/>
              <w:right w:w="240" w:type="dxa"/>
            </w:tcMar>
            <w:vAlign w:val="center"/>
            <w:hideMark/>
          </w:tcPr>
          <w:p w14:paraId="53D8905D"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Before</w:t>
            </w:r>
          </w:p>
        </w:tc>
        <w:tc>
          <w:tcPr>
            <w:tcW w:w="880" w:type="dxa"/>
            <w:shd w:val="clear" w:color="auto" w:fill="auto"/>
            <w:tcMar>
              <w:top w:w="120" w:type="dxa"/>
              <w:left w:w="240" w:type="dxa"/>
              <w:bottom w:w="120" w:type="dxa"/>
              <w:right w:w="240" w:type="dxa"/>
            </w:tcMar>
            <w:vAlign w:val="center"/>
            <w:hideMark/>
          </w:tcPr>
          <w:p w14:paraId="362713B5"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6.6</w:t>
            </w:r>
          </w:p>
        </w:tc>
        <w:tc>
          <w:tcPr>
            <w:tcW w:w="850" w:type="dxa"/>
            <w:shd w:val="clear" w:color="auto" w:fill="auto"/>
            <w:tcMar>
              <w:top w:w="120" w:type="dxa"/>
              <w:left w:w="240" w:type="dxa"/>
              <w:bottom w:w="120" w:type="dxa"/>
              <w:right w:w="240" w:type="dxa"/>
            </w:tcMar>
            <w:vAlign w:val="center"/>
            <w:hideMark/>
          </w:tcPr>
          <w:p w14:paraId="142BCB04"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6.5</w:t>
            </w:r>
          </w:p>
        </w:tc>
        <w:tc>
          <w:tcPr>
            <w:tcW w:w="851" w:type="dxa"/>
            <w:shd w:val="clear" w:color="auto" w:fill="auto"/>
            <w:tcMar>
              <w:top w:w="120" w:type="dxa"/>
              <w:left w:w="240" w:type="dxa"/>
              <w:bottom w:w="120" w:type="dxa"/>
              <w:right w:w="240" w:type="dxa"/>
            </w:tcMar>
            <w:vAlign w:val="center"/>
            <w:hideMark/>
          </w:tcPr>
          <w:p w14:paraId="6F181E22"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9.0</w:t>
            </w:r>
          </w:p>
        </w:tc>
        <w:tc>
          <w:tcPr>
            <w:tcW w:w="872" w:type="dxa"/>
            <w:shd w:val="clear" w:color="auto" w:fill="auto"/>
            <w:tcMar>
              <w:top w:w="120" w:type="dxa"/>
              <w:left w:w="240" w:type="dxa"/>
              <w:bottom w:w="120" w:type="dxa"/>
              <w:right w:w="240" w:type="dxa"/>
            </w:tcMar>
            <w:vAlign w:val="center"/>
            <w:hideMark/>
          </w:tcPr>
          <w:p w14:paraId="0B48FBB6"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10.3</w:t>
            </w:r>
          </w:p>
        </w:tc>
        <w:tc>
          <w:tcPr>
            <w:tcW w:w="970" w:type="dxa"/>
            <w:shd w:val="clear" w:color="auto" w:fill="auto"/>
            <w:tcMar>
              <w:top w:w="120" w:type="dxa"/>
              <w:left w:w="240" w:type="dxa"/>
              <w:bottom w:w="120" w:type="dxa"/>
              <w:right w:w="240" w:type="dxa"/>
            </w:tcMar>
            <w:vAlign w:val="center"/>
            <w:hideMark/>
          </w:tcPr>
          <w:p w14:paraId="09ED2440"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11.3</w:t>
            </w:r>
          </w:p>
        </w:tc>
        <w:tc>
          <w:tcPr>
            <w:tcW w:w="993" w:type="dxa"/>
            <w:shd w:val="clear" w:color="auto" w:fill="auto"/>
            <w:tcMar>
              <w:top w:w="120" w:type="dxa"/>
              <w:left w:w="240" w:type="dxa"/>
              <w:bottom w:w="120" w:type="dxa"/>
              <w:right w:w="240" w:type="dxa"/>
            </w:tcMar>
            <w:vAlign w:val="center"/>
            <w:hideMark/>
          </w:tcPr>
          <w:p w14:paraId="69946864"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8.1</w:t>
            </w:r>
          </w:p>
        </w:tc>
        <w:tc>
          <w:tcPr>
            <w:tcW w:w="850" w:type="dxa"/>
            <w:shd w:val="clear" w:color="auto" w:fill="auto"/>
            <w:tcMar>
              <w:top w:w="120" w:type="dxa"/>
              <w:left w:w="240" w:type="dxa"/>
              <w:bottom w:w="120" w:type="dxa"/>
              <w:right w:w="240" w:type="dxa"/>
            </w:tcMar>
            <w:vAlign w:val="center"/>
            <w:hideMark/>
          </w:tcPr>
          <w:p w14:paraId="7D75A68E"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6.3</w:t>
            </w:r>
          </w:p>
        </w:tc>
        <w:tc>
          <w:tcPr>
            <w:tcW w:w="907" w:type="dxa"/>
            <w:shd w:val="clear" w:color="auto" w:fill="auto"/>
            <w:tcMar>
              <w:top w:w="120" w:type="dxa"/>
              <w:left w:w="240" w:type="dxa"/>
              <w:bottom w:w="120" w:type="dxa"/>
              <w:right w:w="240" w:type="dxa"/>
            </w:tcMar>
            <w:vAlign w:val="center"/>
            <w:hideMark/>
          </w:tcPr>
          <w:p w14:paraId="25839ACF"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11.6</w:t>
            </w:r>
          </w:p>
        </w:tc>
      </w:tr>
      <w:tr w:rsidR="004B3565" w:rsidRPr="004B3565" w14:paraId="730A852B" w14:textId="77777777" w:rsidTr="004B3565">
        <w:tc>
          <w:tcPr>
            <w:tcW w:w="1247" w:type="dxa"/>
            <w:shd w:val="clear" w:color="auto" w:fill="auto"/>
            <w:tcMar>
              <w:top w:w="120" w:type="dxa"/>
              <w:left w:w="240" w:type="dxa"/>
              <w:bottom w:w="120" w:type="dxa"/>
              <w:right w:w="240" w:type="dxa"/>
            </w:tcMar>
            <w:vAlign w:val="center"/>
            <w:hideMark/>
          </w:tcPr>
          <w:p w14:paraId="7FE4C0E3"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After</w:t>
            </w:r>
          </w:p>
        </w:tc>
        <w:tc>
          <w:tcPr>
            <w:tcW w:w="880" w:type="dxa"/>
            <w:shd w:val="clear" w:color="auto" w:fill="auto"/>
            <w:tcMar>
              <w:top w:w="120" w:type="dxa"/>
              <w:left w:w="240" w:type="dxa"/>
              <w:bottom w:w="120" w:type="dxa"/>
              <w:right w:w="240" w:type="dxa"/>
            </w:tcMar>
            <w:vAlign w:val="center"/>
            <w:hideMark/>
          </w:tcPr>
          <w:p w14:paraId="05C8C9EA"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6.8</w:t>
            </w:r>
          </w:p>
        </w:tc>
        <w:tc>
          <w:tcPr>
            <w:tcW w:w="850" w:type="dxa"/>
            <w:shd w:val="clear" w:color="auto" w:fill="auto"/>
            <w:tcMar>
              <w:top w:w="120" w:type="dxa"/>
              <w:left w:w="240" w:type="dxa"/>
              <w:bottom w:w="120" w:type="dxa"/>
              <w:right w:w="240" w:type="dxa"/>
            </w:tcMar>
            <w:vAlign w:val="center"/>
            <w:hideMark/>
          </w:tcPr>
          <w:p w14:paraId="02F6DCD2"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2.4</w:t>
            </w:r>
          </w:p>
        </w:tc>
        <w:tc>
          <w:tcPr>
            <w:tcW w:w="851" w:type="dxa"/>
            <w:shd w:val="clear" w:color="auto" w:fill="auto"/>
            <w:tcMar>
              <w:top w:w="120" w:type="dxa"/>
              <w:left w:w="240" w:type="dxa"/>
              <w:bottom w:w="120" w:type="dxa"/>
              <w:right w:w="240" w:type="dxa"/>
            </w:tcMar>
            <w:vAlign w:val="center"/>
            <w:hideMark/>
          </w:tcPr>
          <w:p w14:paraId="53820A5A"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7.4</w:t>
            </w:r>
          </w:p>
        </w:tc>
        <w:tc>
          <w:tcPr>
            <w:tcW w:w="872" w:type="dxa"/>
            <w:shd w:val="clear" w:color="auto" w:fill="auto"/>
            <w:tcMar>
              <w:top w:w="120" w:type="dxa"/>
              <w:left w:w="240" w:type="dxa"/>
              <w:bottom w:w="120" w:type="dxa"/>
              <w:right w:w="240" w:type="dxa"/>
            </w:tcMar>
            <w:vAlign w:val="center"/>
            <w:hideMark/>
          </w:tcPr>
          <w:p w14:paraId="3ED40307"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8.5</w:t>
            </w:r>
          </w:p>
        </w:tc>
        <w:tc>
          <w:tcPr>
            <w:tcW w:w="970" w:type="dxa"/>
            <w:shd w:val="clear" w:color="auto" w:fill="auto"/>
            <w:tcMar>
              <w:top w:w="120" w:type="dxa"/>
              <w:left w:w="240" w:type="dxa"/>
              <w:bottom w:w="120" w:type="dxa"/>
              <w:right w:w="240" w:type="dxa"/>
            </w:tcMar>
            <w:vAlign w:val="center"/>
            <w:hideMark/>
          </w:tcPr>
          <w:p w14:paraId="6684F656"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8.1</w:t>
            </w:r>
          </w:p>
        </w:tc>
        <w:tc>
          <w:tcPr>
            <w:tcW w:w="993" w:type="dxa"/>
            <w:shd w:val="clear" w:color="auto" w:fill="auto"/>
            <w:tcMar>
              <w:top w:w="120" w:type="dxa"/>
              <w:left w:w="240" w:type="dxa"/>
              <w:bottom w:w="120" w:type="dxa"/>
              <w:right w:w="240" w:type="dxa"/>
            </w:tcMar>
            <w:vAlign w:val="center"/>
            <w:hideMark/>
          </w:tcPr>
          <w:p w14:paraId="15EB366F"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6.1</w:t>
            </w:r>
          </w:p>
        </w:tc>
        <w:tc>
          <w:tcPr>
            <w:tcW w:w="850" w:type="dxa"/>
            <w:shd w:val="clear" w:color="auto" w:fill="auto"/>
            <w:tcMar>
              <w:top w:w="120" w:type="dxa"/>
              <w:left w:w="240" w:type="dxa"/>
              <w:bottom w:w="120" w:type="dxa"/>
              <w:right w:w="240" w:type="dxa"/>
            </w:tcMar>
            <w:vAlign w:val="center"/>
            <w:hideMark/>
          </w:tcPr>
          <w:p w14:paraId="7B93F718"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3.4</w:t>
            </w:r>
          </w:p>
        </w:tc>
        <w:tc>
          <w:tcPr>
            <w:tcW w:w="907" w:type="dxa"/>
            <w:shd w:val="clear" w:color="auto" w:fill="auto"/>
            <w:tcMar>
              <w:top w:w="120" w:type="dxa"/>
              <w:left w:w="240" w:type="dxa"/>
              <w:bottom w:w="120" w:type="dxa"/>
              <w:right w:w="240" w:type="dxa"/>
            </w:tcMar>
            <w:vAlign w:val="center"/>
            <w:hideMark/>
          </w:tcPr>
          <w:p w14:paraId="767B4B74" w14:textId="77777777" w:rsidR="004B3565" w:rsidRPr="004B3565" w:rsidRDefault="004B3565" w:rsidP="004B3565">
            <w:pPr>
              <w:rPr>
                <w:rFonts w:ascii="Neue Helvetica W01" w:hAnsi="Neue Helvetica W01"/>
                <w:color w:val="424242"/>
                <w:sz w:val="21"/>
                <w:szCs w:val="21"/>
              </w:rPr>
            </w:pPr>
            <w:r w:rsidRPr="004B3565">
              <w:rPr>
                <w:rFonts w:ascii="Neue Helvetica W01" w:hAnsi="Neue Helvetica W01"/>
                <w:color w:val="424242"/>
                <w:sz w:val="21"/>
                <w:szCs w:val="21"/>
              </w:rPr>
              <w:t>2.0</w:t>
            </w:r>
          </w:p>
        </w:tc>
      </w:tr>
    </w:tbl>
    <w:p w14:paraId="47CABA4C" w14:textId="77777777" w:rsidR="004B3565" w:rsidRPr="004B3565" w:rsidRDefault="004B3565">
      <w:pPr>
        <w:rPr>
          <w:rFonts w:ascii="Arial" w:hAnsi="Arial" w:cs="Arial"/>
          <w:color w:val="000000"/>
          <w:lang w:val="en-US"/>
        </w:rPr>
      </w:pPr>
    </w:p>
    <w:sectPr w:rsidR="004B3565" w:rsidRPr="004B3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ue Helvetica W01">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0F9A"/>
    <w:multiLevelType w:val="multilevel"/>
    <w:tmpl w:val="8F68099C"/>
    <w:lvl w:ilvl="0">
      <w:start w:val="1"/>
      <w:numFmt w:val="decimal"/>
      <w:lvlText w:val="%1."/>
      <w:lvlJc w:val="left"/>
      <w:pPr>
        <w:tabs>
          <w:tab w:val="num" w:pos="9290"/>
        </w:tabs>
        <w:ind w:left="9290" w:hanging="360"/>
      </w:pPr>
    </w:lvl>
    <w:lvl w:ilvl="1">
      <w:start w:val="1"/>
      <w:numFmt w:val="upperLetter"/>
      <w:lvlText w:val="%2."/>
      <w:lvlJc w:val="left"/>
      <w:pPr>
        <w:tabs>
          <w:tab w:val="num" w:pos="10010"/>
        </w:tabs>
        <w:ind w:left="10010" w:hanging="360"/>
      </w:pPr>
    </w:lvl>
    <w:lvl w:ilvl="2" w:tentative="1">
      <w:start w:val="1"/>
      <w:numFmt w:val="decimal"/>
      <w:lvlText w:val="%3."/>
      <w:lvlJc w:val="left"/>
      <w:pPr>
        <w:tabs>
          <w:tab w:val="num" w:pos="10730"/>
        </w:tabs>
        <w:ind w:left="10730" w:hanging="360"/>
      </w:pPr>
    </w:lvl>
    <w:lvl w:ilvl="3" w:tentative="1">
      <w:start w:val="1"/>
      <w:numFmt w:val="decimal"/>
      <w:lvlText w:val="%4."/>
      <w:lvlJc w:val="left"/>
      <w:pPr>
        <w:tabs>
          <w:tab w:val="num" w:pos="11450"/>
        </w:tabs>
        <w:ind w:left="11450" w:hanging="360"/>
      </w:pPr>
    </w:lvl>
    <w:lvl w:ilvl="4" w:tentative="1">
      <w:start w:val="1"/>
      <w:numFmt w:val="decimal"/>
      <w:lvlText w:val="%5."/>
      <w:lvlJc w:val="left"/>
      <w:pPr>
        <w:tabs>
          <w:tab w:val="num" w:pos="12170"/>
        </w:tabs>
        <w:ind w:left="12170" w:hanging="360"/>
      </w:pPr>
    </w:lvl>
    <w:lvl w:ilvl="5" w:tentative="1">
      <w:start w:val="1"/>
      <w:numFmt w:val="decimal"/>
      <w:lvlText w:val="%6."/>
      <w:lvlJc w:val="left"/>
      <w:pPr>
        <w:tabs>
          <w:tab w:val="num" w:pos="12890"/>
        </w:tabs>
        <w:ind w:left="12890" w:hanging="360"/>
      </w:pPr>
    </w:lvl>
    <w:lvl w:ilvl="6" w:tentative="1">
      <w:start w:val="1"/>
      <w:numFmt w:val="decimal"/>
      <w:lvlText w:val="%7."/>
      <w:lvlJc w:val="left"/>
      <w:pPr>
        <w:tabs>
          <w:tab w:val="num" w:pos="13610"/>
        </w:tabs>
        <w:ind w:left="13610" w:hanging="360"/>
      </w:pPr>
    </w:lvl>
    <w:lvl w:ilvl="7" w:tentative="1">
      <w:start w:val="1"/>
      <w:numFmt w:val="decimal"/>
      <w:lvlText w:val="%8."/>
      <w:lvlJc w:val="left"/>
      <w:pPr>
        <w:tabs>
          <w:tab w:val="num" w:pos="14330"/>
        </w:tabs>
        <w:ind w:left="14330" w:hanging="360"/>
      </w:pPr>
    </w:lvl>
    <w:lvl w:ilvl="8" w:tentative="1">
      <w:start w:val="1"/>
      <w:numFmt w:val="decimal"/>
      <w:lvlText w:val="%9."/>
      <w:lvlJc w:val="left"/>
      <w:pPr>
        <w:tabs>
          <w:tab w:val="num" w:pos="15050"/>
        </w:tabs>
        <w:ind w:left="1505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1E"/>
    <w:rsid w:val="004B3565"/>
    <w:rsid w:val="00B40B2B"/>
    <w:rsid w:val="00D53C1E"/>
    <w:rsid w:val="00E66484"/>
    <w:rsid w:val="00F7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1ACC"/>
  <w15:chartTrackingRefBased/>
  <w15:docId w15:val="{ED603DF7-37EB-4BCC-84B7-37AF65DA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C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565"/>
    <w:pPr>
      <w:spacing w:before="100" w:beforeAutospacing="1" w:after="100" w:afterAutospacing="1"/>
    </w:pPr>
  </w:style>
  <w:style w:type="character" w:styleId="a4">
    <w:name w:val="Hyperlink"/>
    <w:basedOn w:val="a0"/>
    <w:uiPriority w:val="99"/>
    <w:semiHidden/>
    <w:unhideWhenUsed/>
    <w:rsid w:val="004B3565"/>
    <w:rPr>
      <w:color w:val="0000FF"/>
      <w:u w:val="single"/>
    </w:rPr>
  </w:style>
  <w:style w:type="paragraph" w:styleId="a5">
    <w:name w:val="List Paragraph"/>
    <w:basedOn w:val="a"/>
    <w:uiPriority w:val="34"/>
    <w:qFormat/>
    <w:rsid w:val="004B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872957">
      <w:bodyDiv w:val="1"/>
      <w:marLeft w:val="0"/>
      <w:marRight w:val="0"/>
      <w:marTop w:val="0"/>
      <w:marBottom w:val="0"/>
      <w:divBdr>
        <w:top w:val="none" w:sz="0" w:space="0" w:color="auto"/>
        <w:left w:val="none" w:sz="0" w:space="0" w:color="auto"/>
        <w:bottom w:val="none" w:sz="0" w:space="0" w:color="auto"/>
        <w:right w:val="none" w:sz="0" w:space="0" w:color="auto"/>
      </w:divBdr>
      <w:divsChild>
        <w:div w:id="1767920177">
          <w:marLeft w:val="0"/>
          <w:marRight w:val="0"/>
          <w:marTop w:val="0"/>
          <w:marBottom w:val="0"/>
          <w:divBdr>
            <w:top w:val="none" w:sz="0" w:space="0" w:color="auto"/>
            <w:left w:val="none" w:sz="0" w:space="0" w:color="auto"/>
            <w:bottom w:val="none" w:sz="0" w:space="0" w:color="auto"/>
            <w:right w:val="none" w:sz="0" w:space="0" w:color="auto"/>
          </w:divBdr>
          <w:divsChild>
            <w:div w:id="448939369">
              <w:marLeft w:val="0"/>
              <w:marRight w:val="0"/>
              <w:marTop w:val="0"/>
              <w:marBottom w:val="0"/>
              <w:divBdr>
                <w:top w:val="none" w:sz="0" w:space="0" w:color="auto"/>
                <w:left w:val="none" w:sz="0" w:space="0" w:color="auto"/>
                <w:bottom w:val="none" w:sz="0" w:space="0" w:color="auto"/>
                <w:right w:val="none" w:sz="0" w:space="0" w:color="auto"/>
              </w:divBdr>
              <w:divsChild>
                <w:div w:id="11567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0208">
      <w:bodyDiv w:val="1"/>
      <w:marLeft w:val="0"/>
      <w:marRight w:val="0"/>
      <w:marTop w:val="0"/>
      <w:marBottom w:val="0"/>
      <w:divBdr>
        <w:top w:val="none" w:sz="0" w:space="0" w:color="auto"/>
        <w:left w:val="none" w:sz="0" w:space="0" w:color="auto"/>
        <w:bottom w:val="none" w:sz="0" w:space="0" w:color="auto"/>
        <w:right w:val="none" w:sz="0" w:space="0" w:color="auto"/>
      </w:divBdr>
      <w:divsChild>
        <w:div w:id="65780858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2020-07-13T11:51:00Z</dcterms:created>
  <dcterms:modified xsi:type="dcterms:W3CDTF">2020-07-13T17:05:00Z</dcterms:modified>
</cp:coreProperties>
</file>