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30F5F">
      <w:pPr>
        <w:spacing w:after="0" w:line="240" w:lineRule="auto"/>
        <w:jc w:val="center"/>
        <w:rPr>
          <w:rFonts w:ascii="Arial Narrow" w:hAnsi="Arial Narrow" w:eastAsia="Times New Roman" w:cs="Times New Roman"/>
          <w:sz w:val="22"/>
          <w:szCs w:val="22"/>
        </w:rPr>
      </w:pPr>
      <w:r>
        <w:rPr>
          <w:rFonts w:ascii="Arial Narrow" w:hAnsi="Arial Narrow"/>
          <w:sz w:val="22"/>
          <w:szCs w:val="22"/>
        </w:rPr>
        <w:drawing>
          <wp:inline distT="0" distB="0" distL="0" distR="0">
            <wp:extent cx="520700" cy="796290"/>
            <wp:effectExtent l="0" t="0" r="0" b="3810"/>
            <wp:docPr id="7" name="Picture 7" descr="Documentations About KIMEP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ocumentations About KIMEP Univers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6296" cy="804648"/>
                    </a:xfrm>
                    <a:prstGeom prst="rect">
                      <a:avLst/>
                    </a:prstGeom>
                    <a:noFill/>
                    <a:ln>
                      <a:noFill/>
                    </a:ln>
                  </pic:spPr>
                </pic:pic>
              </a:graphicData>
            </a:graphic>
          </wp:inline>
        </w:drawing>
      </w:r>
    </w:p>
    <w:p w14:paraId="59619AF5">
      <w:pPr>
        <w:spacing w:after="0" w:line="240" w:lineRule="auto"/>
        <w:ind w:right="420"/>
        <w:outlineLvl w:val="0"/>
        <w:rPr>
          <w:rFonts w:ascii="Arial Narrow" w:hAnsi="Arial Narrow" w:eastAsia="Times New Roman" w:cs="Calibri"/>
          <w:bCs/>
          <w:color w:val="000000" w:themeColor="text1"/>
          <w:kern w:val="36"/>
          <w:sz w:val="22"/>
          <w:szCs w:val="22"/>
          <w14:textFill>
            <w14:solidFill>
              <w14:schemeClr w14:val="tx1"/>
            </w14:solidFill>
          </w14:textFill>
        </w:rPr>
      </w:pPr>
    </w:p>
    <w:p w14:paraId="0EBD9475">
      <w:pPr>
        <w:spacing w:after="0" w:line="240" w:lineRule="auto"/>
        <w:ind w:right="420"/>
        <w:jc w:val="center"/>
        <w:outlineLvl w:val="0"/>
        <w:rPr>
          <w:rFonts w:ascii="Arial Narrow" w:hAnsi="Arial Narrow" w:eastAsia="Times New Roman" w:cs="Calibri"/>
          <w:b/>
          <w:bCs/>
          <w:color w:val="000000" w:themeColor="text1"/>
          <w:kern w:val="36"/>
          <w:sz w:val="22"/>
          <w:szCs w:val="22"/>
          <w14:textFill>
            <w14:solidFill>
              <w14:schemeClr w14:val="tx1"/>
            </w14:solidFill>
          </w14:textFill>
        </w:rPr>
      </w:pPr>
      <w:r>
        <w:rPr>
          <w:rFonts w:ascii="Arial Narrow" w:hAnsi="Arial Narrow" w:eastAsia="Times New Roman" w:cs="Calibri"/>
          <w:b/>
          <w:bCs/>
          <w:color w:val="000000" w:themeColor="text1"/>
          <w:kern w:val="36"/>
          <w:sz w:val="22"/>
          <w:szCs w:val="22"/>
          <w14:textFill>
            <w14:solidFill>
              <w14:schemeClr w14:val="tx1"/>
            </w14:solidFill>
          </w14:textFill>
        </w:rPr>
        <w:t>(PAF3531/ECN4121) Public Finance/Public Economics 1</w:t>
      </w:r>
    </w:p>
    <w:p w14:paraId="6657FA00">
      <w:pPr>
        <w:spacing w:after="0" w:line="240" w:lineRule="auto"/>
        <w:ind w:right="420"/>
        <w:jc w:val="center"/>
        <w:outlineLvl w:val="0"/>
        <w:rPr>
          <w:rFonts w:ascii="Arial Narrow" w:hAnsi="Arial Narrow" w:eastAsia="Times New Roman" w:cs="Calibri"/>
          <w:b/>
          <w:bCs/>
          <w:color w:val="000000" w:themeColor="text1"/>
          <w:kern w:val="36"/>
          <w:sz w:val="22"/>
          <w:szCs w:val="22"/>
          <w14:textFill>
            <w14:solidFill>
              <w14:schemeClr w14:val="tx1"/>
            </w14:solidFill>
          </w14:textFill>
        </w:rPr>
      </w:pPr>
    </w:p>
    <w:p w14:paraId="462F50D8">
      <w:pPr>
        <w:spacing w:after="0" w:line="240" w:lineRule="auto"/>
        <w:ind w:right="420"/>
        <w:jc w:val="center"/>
        <w:outlineLvl w:val="0"/>
        <w:rPr>
          <w:rFonts w:ascii="Arial Narrow" w:hAnsi="Arial Narrow" w:eastAsia="Times New Roman" w:cs="Calibri"/>
          <w:b/>
          <w:bCs/>
          <w:color w:val="000000" w:themeColor="text1"/>
          <w:kern w:val="36"/>
          <w:sz w:val="22"/>
          <w:szCs w:val="22"/>
          <w14:textFill>
            <w14:solidFill>
              <w14:schemeClr w14:val="tx1"/>
            </w14:solidFill>
          </w14:textFill>
        </w:rPr>
      </w:pPr>
      <w:r>
        <w:rPr>
          <w:rFonts w:ascii="Arial Narrow" w:hAnsi="Arial Narrow" w:eastAsia="Times New Roman" w:cs="Calibri"/>
          <w:b/>
          <w:bCs/>
          <w:color w:val="000000" w:themeColor="text1"/>
          <w:kern w:val="36"/>
          <w:sz w:val="22"/>
          <w:szCs w:val="22"/>
          <w14:textFill>
            <w14:solidFill>
              <w14:schemeClr w14:val="tx1"/>
            </w14:solidFill>
          </w14:textFill>
        </w:rPr>
        <w:t>Syllabus</w:t>
      </w:r>
    </w:p>
    <w:p w14:paraId="10829521">
      <w:pPr>
        <w:spacing w:after="0" w:line="240" w:lineRule="auto"/>
        <w:ind w:right="420"/>
        <w:jc w:val="center"/>
        <w:outlineLvl w:val="0"/>
        <w:rPr>
          <w:rFonts w:ascii="Arial Narrow" w:hAnsi="Arial Narrow" w:eastAsia="Times New Roman" w:cs="Calibri"/>
          <w:b/>
          <w:bCs/>
          <w:color w:val="000000" w:themeColor="text1"/>
          <w:kern w:val="36"/>
          <w:sz w:val="22"/>
          <w:szCs w:val="22"/>
          <w14:textFill>
            <w14:solidFill>
              <w14:schemeClr w14:val="tx1"/>
            </w14:solidFill>
          </w14:textFill>
        </w:rPr>
      </w:pPr>
      <w:r>
        <w:rPr>
          <w:rFonts w:ascii="Arial Narrow" w:hAnsi="Arial Narrow" w:eastAsia="Times New Roman" w:cs="Calibri"/>
          <w:b/>
          <w:bCs/>
          <w:color w:val="000000" w:themeColor="text1"/>
          <w:kern w:val="36"/>
          <w:sz w:val="22"/>
          <w:szCs w:val="22"/>
          <w14:textFill>
            <w14:solidFill>
              <w14:schemeClr w14:val="tx1"/>
            </w14:solidFill>
          </w14:textFill>
        </w:rPr>
        <w:t xml:space="preserve"> </w:t>
      </w:r>
    </w:p>
    <w:p w14:paraId="5262E71F">
      <w:pPr>
        <w:spacing w:after="0" w:line="240" w:lineRule="auto"/>
        <w:ind w:left="3600"/>
        <w:rPr>
          <w:rFonts w:hint="default" w:ascii="Arial Narrow" w:hAnsi="Arial Narrow" w:eastAsia="Times New Roman" w:cs="Times New Roman"/>
          <w:b/>
          <w:bCs/>
          <w:color w:val="000000" w:themeColor="text1"/>
          <w:kern w:val="36"/>
          <w:sz w:val="22"/>
          <w:szCs w:val="22"/>
          <w:lang w:val="en-US"/>
          <w14:textFill>
            <w14:solidFill>
              <w14:schemeClr w14:val="tx1"/>
            </w14:solidFill>
          </w14:textFill>
        </w:rPr>
      </w:pPr>
      <w:r>
        <w:rPr>
          <w:rFonts w:ascii="Arial Narrow" w:hAnsi="Arial Narrow" w:eastAsia="Times New Roman" w:cs="Calibri"/>
          <w:b/>
          <w:bCs/>
          <w:color w:val="000000" w:themeColor="text1"/>
          <w:sz w:val="22"/>
          <w:szCs w:val="22"/>
          <w14:textFill>
            <w14:solidFill>
              <w14:schemeClr w14:val="tx1"/>
            </w14:solidFill>
          </w14:textFill>
        </w:rPr>
        <w:t xml:space="preserve">       Term:</w:t>
      </w:r>
      <w:r>
        <w:rPr>
          <w:rFonts w:ascii="Arial Narrow" w:hAnsi="Arial Narrow" w:eastAsia="Times New Roman" w:cs="Calibri"/>
          <w:b/>
          <w:color w:val="000000" w:themeColor="text1"/>
          <w:sz w:val="22"/>
          <w:szCs w:val="22"/>
          <w14:textFill>
            <w14:solidFill>
              <w14:schemeClr w14:val="tx1"/>
            </w14:solidFill>
          </w14:textFill>
        </w:rPr>
        <w:t xml:space="preserve"> </w:t>
      </w:r>
      <w:r>
        <w:rPr>
          <w:rFonts w:ascii="Arial Narrow" w:hAnsi="Arial Narrow" w:eastAsia="Times New Roman" w:cs="Calibri"/>
          <w:b/>
          <w:iCs/>
          <w:color w:val="000000" w:themeColor="text1"/>
          <w:sz w:val="22"/>
          <w:szCs w:val="22"/>
          <w14:textFill>
            <w14:solidFill>
              <w14:schemeClr w14:val="tx1"/>
            </w14:solidFill>
          </w14:textFill>
        </w:rPr>
        <w:t>Fall/202</w:t>
      </w:r>
      <w:r>
        <w:rPr>
          <w:rFonts w:hint="default" w:ascii="Arial Narrow" w:hAnsi="Arial Narrow" w:eastAsia="Times New Roman" w:cs="Calibri"/>
          <w:b/>
          <w:iCs/>
          <w:color w:val="000000" w:themeColor="text1"/>
          <w:sz w:val="22"/>
          <w:szCs w:val="22"/>
          <w:lang w:val="en-US"/>
          <w14:textFill>
            <w14:solidFill>
              <w14:schemeClr w14:val="tx1"/>
            </w14:solidFill>
          </w14:textFill>
        </w:rPr>
        <w:t>5</w:t>
      </w:r>
    </w:p>
    <w:p w14:paraId="16419B94">
      <w:pPr>
        <w:spacing w:after="0" w:line="240" w:lineRule="auto"/>
        <w:rPr>
          <w:rFonts w:ascii="Arial Narrow" w:hAnsi="Arial Narrow" w:eastAsia="Times New Roman" w:cs="Times New Roman"/>
          <w:b/>
          <w:bCs/>
          <w:color w:val="000000" w:themeColor="text1"/>
          <w:kern w:val="36"/>
          <w:sz w:val="22"/>
          <w:szCs w:val="22"/>
          <w14:textFill>
            <w14:solidFill>
              <w14:schemeClr w14:val="tx1"/>
            </w14:solidFill>
          </w14:textFill>
        </w:rPr>
      </w:pPr>
    </w:p>
    <w:p w14:paraId="34D3E609">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r>
        <w:rPr>
          <w:rFonts w:ascii="Arial Narrow" w:hAnsi="Arial Narrow" w:eastAsia="Times New Roman" w:cs="Calibri"/>
          <w:b/>
          <w:color w:val="000000" w:themeColor="text1"/>
          <w:sz w:val="22"/>
          <w:szCs w:val="22"/>
          <w14:textFill>
            <w14:solidFill>
              <w14:schemeClr w14:val="tx1"/>
            </w14:solidFill>
          </w14:textFill>
        </w:rPr>
        <w:t>Instructor</w:t>
      </w:r>
      <w:r>
        <w:rPr>
          <w:rFonts w:ascii="Arial Narrow" w:hAnsi="Arial Narrow" w:eastAsia="Times New Roman" w:cs="Calibri"/>
          <w:bCs/>
          <w:color w:val="000000" w:themeColor="text1"/>
          <w:sz w:val="22"/>
          <w:szCs w:val="22"/>
          <w14:textFill>
            <w14:solidFill>
              <w14:schemeClr w14:val="tx1"/>
            </w14:solidFill>
          </w14:textFill>
        </w:rPr>
        <w:t>:</w:t>
      </w:r>
      <w:r>
        <w:rPr>
          <w:rFonts w:ascii="Arial Narrow" w:hAnsi="Arial Narrow" w:eastAsia="Times New Roman" w:cs="Calibri"/>
          <w:color w:val="000000" w:themeColor="text1"/>
          <w:sz w:val="22"/>
          <w:szCs w:val="22"/>
          <w14:textFill>
            <w14:solidFill>
              <w14:schemeClr w14:val="tx1"/>
            </w14:solidFill>
          </w14:textFill>
        </w:rPr>
        <w:t xml:space="preserve"> Francis Amagoh, Ph.D.</w:t>
      </w:r>
    </w:p>
    <w:p w14:paraId="6668BD6E">
      <w:pPr>
        <w:spacing w:after="0" w:line="240" w:lineRule="auto"/>
        <w:rPr>
          <w:rFonts w:ascii="Arial Narrow" w:hAnsi="Arial Narrow"/>
          <w:color w:val="000000" w:themeColor="text1"/>
          <w:sz w:val="22"/>
          <w:szCs w:val="22"/>
          <w14:textFill>
            <w14:solidFill>
              <w14:schemeClr w14:val="tx1"/>
            </w14:solidFill>
          </w14:textFill>
        </w:rPr>
      </w:pPr>
      <w:r>
        <w:rPr>
          <w:rFonts w:ascii="Arial Narrow" w:hAnsi="Arial Narrow" w:eastAsia="Times New Roman" w:cs="Calibri"/>
          <w:b/>
          <w:color w:val="000000" w:themeColor="text1"/>
          <w:sz w:val="22"/>
          <w:szCs w:val="22"/>
          <w14:textFill>
            <w14:solidFill>
              <w14:schemeClr w14:val="tx1"/>
            </w14:solidFill>
          </w14:textFill>
        </w:rPr>
        <w:t>Office Phone</w:t>
      </w:r>
      <w:r>
        <w:rPr>
          <w:rFonts w:ascii="Arial Narrow" w:hAnsi="Arial Narrow" w:eastAsia="Times New Roman" w:cs="Calibri"/>
          <w:bCs/>
          <w:color w:val="000000" w:themeColor="text1"/>
          <w:sz w:val="22"/>
          <w:szCs w:val="22"/>
          <w14:textFill>
            <w14:solidFill>
              <w14:schemeClr w14:val="tx1"/>
            </w14:solidFill>
          </w14:textFill>
        </w:rPr>
        <w:t>:</w:t>
      </w:r>
      <w:r>
        <w:rPr>
          <w:rFonts w:ascii="Arial Narrow" w:hAnsi="Arial Narrow" w:eastAsia="Times New Roman" w:cs="Calibri"/>
          <w:color w:val="000000" w:themeColor="text1"/>
          <w:sz w:val="22"/>
          <w:szCs w:val="22"/>
          <w14:textFill>
            <w14:solidFill>
              <w14:schemeClr w14:val="tx1"/>
            </w14:solidFill>
          </w14:textFill>
        </w:rPr>
        <w:t xml:space="preserve"> </w:t>
      </w:r>
      <w:r>
        <w:rPr>
          <w:rFonts w:ascii="Arial Narrow" w:hAnsi="Arial Narrow"/>
          <w:color w:val="000000" w:themeColor="text1"/>
          <w:sz w:val="22"/>
          <w:szCs w:val="22"/>
          <w14:textFill>
            <w14:solidFill>
              <w14:schemeClr w14:val="tx1"/>
            </w14:solidFill>
          </w14:textFill>
        </w:rPr>
        <w:t xml:space="preserve">2704331    </w:t>
      </w:r>
    </w:p>
    <w:p w14:paraId="5B3806F7">
      <w:pPr>
        <w:spacing w:after="0" w:line="240" w:lineRule="auto"/>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b/>
          <w:color w:val="000000" w:themeColor="text1"/>
          <w:sz w:val="22"/>
          <w:szCs w:val="22"/>
          <w14:textFill>
            <w14:solidFill>
              <w14:schemeClr w14:val="tx1"/>
            </w14:solidFill>
          </w14:textFill>
        </w:rPr>
        <w:t>Office:</w:t>
      </w:r>
      <w:r>
        <w:rPr>
          <w:rFonts w:ascii="Arial Narrow" w:hAnsi="Arial Narrow" w:eastAsia="Times New Roman" w:cs="Calibri"/>
          <w:bCs/>
          <w:color w:val="000000" w:themeColor="text1"/>
          <w:sz w:val="22"/>
          <w:szCs w:val="22"/>
          <w14:textFill>
            <w14:solidFill>
              <w14:schemeClr w14:val="tx1"/>
            </w14:solidFill>
          </w14:textFill>
        </w:rPr>
        <w:t xml:space="preserve"> </w:t>
      </w:r>
      <w:r>
        <w:rPr>
          <w:rFonts w:hint="default" w:ascii="Arial Narrow" w:hAnsi="Arial Narrow" w:eastAsia="Times New Roman" w:cs="Calibri"/>
          <w:bCs/>
          <w:color w:val="000000" w:themeColor="text1"/>
          <w:sz w:val="22"/>
          <w:szCs w:val="22"/>
          <w:lang w:val="en-US"/>
          <w14:textFill>
            <w14:solidFill>
              <w14:schemeClr w14:val="tx1"/>
            </w14:solidFill>
          </w14:textFill>
        </w:rPr>
        <w:t>137</w:t>
      </w:r>
      <w:r>
        <w:rPr>
          <w:rFonts w:ascii="Arial Narrow" w:hAnsi="Arial Narrow" w:eastAsia="Times New Roman" w:cs="Calibri"/>
          <w:bCs/>
          <w:color w:val="000000" w:themeColor="text1"/>
          <w:sz w:val="22"/>
          <w:szCs w:val="22"/>
          <w14:textFill>
            <w14:solidFill>
              <w14:schemeClr w14:val="tx1"/>
            </w14:solidFill>
          </w14:textFill>
        </w:rPr>
        <w:t xml:space="preserve">/Valikhanov </w:t>
      </w:r>
      <w:r>
        <w:rPr>
          <w:rFonts w:ascii="Arial Narrow" w:hAnsi="Arial Narrow" w:eastAsia="Times New Roman" w:cs="Calibri"/>
          <w:color w:val="000000" w:themeColor="text1"/>
          <w:sz w:val="22"/>
          <w:szCs w:val="22"/>
          <w14:textFill>
            <w14:solidFill>
              <w14:schemeClr w14:val="tx1"/>
            </w14:solidFill>
          </w14:textFill>
        </w:rPr>
        <w:t xml:space="preserve"> </w:t>
      </w:r>
    </w:p>
    <w:p w14:paraId="56916289">
      <w:pPr>
        <w:spacing w:after="0" w:line="240" w:lineRule="auto"/>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b/>
          <w:color w:val="000000" w:themeColor="text1"/>
          <w:sz w:val="22"/>
          <w:szCs w:val="22"/>
          <w14:textFill>
            <w14:solidFill>
              <w14:schemeClr w14:val="tx1"/>
            </w14:solidFill>
          </w14:textFill>
        </w:rPr>
        <w:t>Office Hours</w:t>
      </w:r>
      <w:r>
        <w:rPr>
          <w:rFonts w:ascii="Arial Narrow" w:hAnsi="Arial Narrow" w:eastAsia="Times New Roman" w:cs="Calibri"/>
          <w:bCs/>
          <w:color w:val="000000" w:themeColor="text1"/>
          <w:sz w:val="22"/>
          <w:szCs w:val="22"/>
          <w14:textFill>
            <w14:solidFill>
              <w14:schemeClr w14:val="tx1"/>
            </w14:solidFill>
          </w14:textFill>
        </w:rPr>
        <w:t>:</w:t>
      </w:r>
      <w:r>
        <w:rPr>
          <w:rFonts w:ascii="Arial Narrow" w:hAnsi="Arial Narrow" w:eastAsia="Times New Roman" w:cs="Calibri"/>
          <w:color w:val="000000" w:themeColor="text1"/>
          <w:sz w:val="22"/>
          <w:szCs w:val="22"/>
          <w14:textFill>
            <w14:solidFill>
              <w14:schemeClr w14:val="tx1"/>
            </w14:solidFill>
          </w14:textFill>
        </w:rPr>
        <w:t xml:space="preserve"> Monday, Wednesday, 3:00-4:00PM; Thursday, Friday, 5:00-6:00PM; Others: by Appointment</w:t>
      </w:r>
    </w:p>
    <w:p w14:paraId="51EA86B2">
      <w:pPr>
        <w:spacing w:after="0" w:line="240" w:lineRule="auto"/>
        <w:rPr>
          <w:rFonts w:ascii="Arial Narrow" w:hAnsi="Arial Narrow"/>
          <w:color w:val="000000" w:themeColor="text1"/>
          <w:sz w:val="22"/>
          <w:szCs w:val="22"/>
          <w14:textFill>
            <w14:solidFill>
              <w14:schemeClr w14:val="tx1"/>
            </w14:solidFill>
          </w14:textFill>
        </w:rPr>
      </w:pPr>
      <w:r>
        <w:rPr>
          <w:rFonts w:ascii="Arial Narrow" w:hAnsi="Arial Narrow" w:eastAsia="Times New Roman" w:cs="Calibri"/>
          <w:b/>
          <w:color w:val="000000" w:themeColor="text1"/>
          <w:sz w:val="22"/>
          <w:szCs w:val="22"/>
          <w14:textFill>
            <w14:solidFill>
              <w14:schemeClr w14:val="tx1"/>
            </w14:solidFill>
          </w14:textFill>
        </w:rPr>
        <w:t>Email:</w:t>
      </w:r>
      <w:r>
        <w:rPr>
          <w:rFonts w:ascii="Arial Narrow" w:hAnsi="Arial Narrow"/>
          <w:color w:val="000000" w:themeColor="text1"/>
          <w:sz w:val="22"/>
          <w:szCs w:val="22"/>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"mailto:famagoh@kimep.kz" </w:instrText>
      </w:r>
      <w:r>
        <w:rPr>
          <w:color w:val="000000" w:themeColor="text1"/>
          <w14:textFill>
            <w14:solidFill>
              <w14:schemeClr w14:val="tx1"/>
            </w14:solidFill>
          </w14:textFill>
        </w:rPr>
        <w:fldChar w:fldCharType="separate"/>
      </w:r>
      <w:r>
        <w:rPr>
          <w:rStyle w:val="19"/>
          <w:rFonts w:ascii="Arial Narrow" w:hAnsi="Arial Narrow"/>
          <w:color w:val="000000" w:themeColor="text1"/>
          <w:sz w:val="22"/>
          <w:szCs w:val="22"/>
          <w14:textFill>
            <w14:solidFill>
              <w14:schemeClr w14:val="tx1"/>
            </w14:solidFill>
          </w14:textFill>
        </w:rPr>
        <w:t>famagoh@kimep.kz</w:t>
      </w:r>
      <w:r>
        <w:rPr>
          <w:rStyle w:val="19"/>
          <w:rFonts w:ascii="Arial Narrow" w:hAnsi="Arial Narrow"/>
          <w:color w:val="000000" w:themeColor="text1"/>
          <w:sz w:val="22"/>
          <w:szCs w:val="22"/>
          <w14:textFill>
            <w14:solidFill>
              <w14:schemeClr w14:val="tx1"/>
            </w14:solidFill>
          </w14:textFill>
        </w:rPr>
        <w:fldChar w:fldCharType="end"/>
      </w:r>
    </w:p>
    <w:p w14:paraId="580205B0">
      <w:pPr>
        <w:spacing w:after="0" w:line="240" w:lineRule="auto"/>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b/>
          <w:color w:val="000000" w:themeColor="text1"/>
          <w:sz w:val="22"/>
          <w:szCs w:val="22"/>
          <w14:textFill>
            <w14:solidFill>
              <w14:schemeClr w14:val="tx1"/>
            </w14:solidFill>
          </w14:textFill>
        </w:rPr>
        <w:t>Credits:</w:t>
      </w:r>
      <w:r>
        <w:rPr>
          <w:rFonts w:ascii="Arial Narrow" w:hAnsi="Arial Narrow" w:eastAsia="Times New Roman" w:cs="Calibri"/>
          <w:color w:val="000000" w:themeColor="text1"/>
          <w:sz w:val="22"/>
          <w:szCs w:val="22"/>
          <w14:textFill>
            <w14:solidFill>
              <w14:schemeClr w14:val="tx1"/>
            </w14:solidFill>
          </w14:textFill>
        </w:rPr>
        <w:t xml:space="preserve"> 3 (5 ECTS)</w:t>
      </w:r>
    </w:p>
    <w:p w14:paraId="60A124ED">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r>
        <w:rPr>
          <w:rFonts w:ascii="Arial Narrow" w:hAnsi="Arial Narrow" w:eastAsia="Times New Roman" w:cs="Calibri"/>
          <w:b/>
          <w:bCs/>
          <w:color w:val="000000" w:themeColor="text1"/>
          <w:sz w:val="22"/>
          <w:szCs w:val="22"/>
          <w14:textFill>
            <w14:solidFill>
              <w14:schemeClr w14:val="tx1"/>
            </w14:solidFill>
          </w14:textFill>
        </w:rPr>
        <w:t>Prerequisites:</w:t>
      </w:r>
      <w:r>
        <w:rPr>
          <w:rFonts w:ascii="Arial Narrow" w:hAnsi="Arial Narrow" w:eastAsia="Times New Roman" w:cs="Calibri"/>
          <w:color w:val="000000" w:themeColor="text1"/>
          <w:sz w:val="22"/>
          <w:szCs w:val="22"/>
          <w14:textFill>
            <w14:solidFill>
              <w14:schemeClr w14:val="tx1"/>
            </w14:solidFill>
          </w14:textFill>
        </w:rPr>
        <w:t xml:space="preserve"> Fundamentals of Public Financial Management or Principles of Economics</w:t>
      </w:r>
    </w:p>
    <w:p w14:paraId="211278D5">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r>
        <w:rPr>
          <w:rFonts w:ascii="Arial Narrow" w:hAnsi="Arial Narrow" w:eastAsia="Times New Roman" w:cs="Calibri"/>
          <w:b/>
          <w:color w:val="000000" w:themeColor="text1"/>
          <w:sz w:val="22"/>
          <w:szCs w:val="22"/>
          <w14:textFill>
            <w14:solidFill>
              <w14:schemeClr w14:val="tx1"/>
            </w14:solidFill>
          </w14:textFill>
        </w:rPr>
        <w:t>Course Dates:</w:t>
      </w:r>
      <w:r>
        <w:rPr>
          <w:rFonts w:ascii="Arial Narrow" w:hAnsi="Arial Narrow" w:eastAsia="Times New Roman" w:cs="Calibri"/>
          <w:color w:val="000000" w:themeColor="text1"/>
          <w:sz w:val="22"/>
          <w:szCs w:val="22"/>
          <w14:textFill>
            <w14:solidFill>
              <w14:schemeClr w14:val="tx1"/>
            </w14:solidFill>
          </w14:textFill>
        </w:rPr>
        <w:t xml:space="preserve"> August 2</w:t>
      </w:r>
      <w:r>
        <w:rPr>
          <w:rFonts w:hint="default" w:ascii="Arial Narrow" w:hAnsi="Arial Narrow" w:eastAsia="Times New Roman" w:cs="Calibri"/>
          <w:color w:val="000000" w:themeColor="text1"/>
          <w:sz w:val="22"/>
          <w:szCs w:val="22"/>
          <w:lang w:val="en-US"/>
          <w14:textFill>
            <w14:solidFill>
              <w14:schemeClr w14:val="tx1"/>
            </w14:solidFill>
          </w14:textFill>
        </w:rPr>
        <w:t>0</w:t>
      </w:r>
      <w:r>
        <w:rPr>
          <w:rFonts w:ascii="Arial Narrow" w:hAnsi="Arial Narrow" w:eastAsia="Times New Roman" w:cs="Calibri"/>
          <w:color w:val="000000" w:themeColor="text1"/>
          <w:sz w:val="22"/>
          <w:szCs w:val="22"/>
          <w14:textFill>
            <w14:solidFill>
              <w14:schemeClr w14:val="tx1"/>
            </w14:solidFill>
          </w14:textFill>
        </w:rPr>
        <w:t>-December 10, 2024</w:t>
      </w:r>
    </w:p>
    <w:p w14:paraId="5CB249F6">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r>
        <w:rPr>
          <w:rFonts w:ascii="Arial Narrow" w:hAnsi="Arial Narrow" w:eastAsia="Times New Roman" w:cs="Calibri"/>
          <w:b/>
          <w:color w:val="000000" w:themeColor="text1"/>
          <w:sz w:val="22"/>
          <w:szCs w:val="22"/>
          <w14:textFill>
            <w14:solidFill>
              <w14:schemeClr w14:val="tx1"/>
            </w14:solidFill>
          </w14:textFill>
        </w:rPr>
        <w:t>Course Times:</w:t>
      </w:r>
      <w:r>
        <w:rPr>
          <w:rFonts w:ascii="Arial Narrow" w:hAnsi="Arial Narrow" w:eastAsia="Times New Roman" w:cs="Calibri"/>
          <w:color w:val="000000" w:themeColor="text1"/>
          <w:sz w:val="22"/>
          <w:szCs w:val="22"/>
          <w14:textFill>
            <w14:solidFill>
              <w14:schemeClr w14:val="tx1"/>
            </w14:solidFill>
          </w14:textFill>
        </w:rPr>
        <w:t xml:space="preserve"> Monday, Wednesday, 4:00 PM-5:15 PM</w:t>
      </w:r>
    </w:p>
    <w:p w14:paraId="3ECC4041">
      <w:pPr>
        <w:spacing w:after="0" w:line="240" w:lineRule="auto"/>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b/>
          <w:color w:val="000000" w:themeColor="text1"/>
          <w:sz w:val="22"/>
          <w:szCs w:val="22"/>
          <w14:textFill>
            <w14:solidFill>
              <w14:schemeClr w14:val="tx1"/>
            </w14:solidFill>
          </w14:textFill>
        </w:rPr>
        <w:t>Classroom:</w:t>
      </w:r>
      <w:r>
        <w:rPr>
          <w:rFonts w:ascii="Arial Narrow" w:hAnsi="Arial Narrow" w:eastAsia="Times New Roman" w:cs="Calibri"/>
          <w:color w:val="000000" w:themeColor="text1"/>
          <w:sz w:val="22"/>
          <w:szCs w:val="22"/>
          <w14:textFill>
            <w14:solidFill>
              <w14:schemeClr w14:val="tx1"/>
            </w14:solidFill>
          </w14:textFill>
        </w:rPr>
        <w:t xml:space="preserve"> </w:t>
      </w:r>
      <w:r>
        <w:rPr>
          <w:rFonts w:ascii="Arial Narrow" w:hAnsi="Arial Narrow" w:eastAsia="Times New Roman" w:cs="Calibri"/>
          <w:b/>
          <w:bCs/>
          <w:color w:val="000000" w:themeColor="text1"/>
          <w:sz w:val="22"/>
          <w:szCs w:val="22"/>
          <w14:textFill>
            <w14:solidFill>
              <w14:schemeClr w14:val="tx1"/>
            </w14:solidFill>
          </w14:textFill>
        </w:rPr>
        <w:t>#</w:t>
      </w:r>
      <w:r>
        <w:rPr>
          <w:rFonts w:hint="default" w:ascii="Arial Narrow" w:hAnsi="Arial Narrow" w:eastAsia="Times New Roman" w:cs="Calibri"/>
          <w:b/>
          <w:bCs/>
          <w:color w:val="000000" w:themeColor="text1"/>
          <w:sz w:val="22"/>
          <w:szCs w:val="22"/>
          <w:lang w:val="en-US"/>
          <w14:textFill>
            <w14:solidFill>
              <w14:schemeClr w14:val="tx1"/>
            </w14:solidFill>
          </w14:textFill>
        </w:rPr>
        <w:t>110</w:t>
      </w:r>
      <w:r>
        <w:rPr>
          <w:rFonts w:ascii="Arial Narrow" w:hAnsi="Arial Narrow" w:eastAsia="Times New Roman" w:cs="Calibri"/>
          <w:b/>
          <w:bCs/>
          <w:color w:val="000000" w:themeColor="text1"/>
          <w:sz w:val="22"/>
          <w:szCs w:val="22"/>
          <w14:textFill>
            <w14:solidFill>
              <w14:schemeClr w14:val="tx1"/>
            </w14:solidFill>
          </w14:textFill>
        </w:rPr>
        <w:t>/Valikhanov</w:t>
      </w:r>
    </w:p>
    <w:p w14:paraId="340AC7F0">
      <w:pPr>
        <w:spacing w:after="0" w:line="240" w:lineRule="auto"/>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b/>
          <w:bCs/>
          <w:color w:val="000000" w:themeColor="text1"/>
          <w:sz w:val="22"/>
          <w:szCs w:val="22"/>
          <w14:textFill>
            <w14:solidFill>
              <w14:schemeClr w14:val="tx1"/>
            </w14:solidFill>
          </w14:textFill>
        </w:rPr>
        <w:t>Course Length:</w:t>
      </w:r>
      <w:r>
        <w:rPr>
          <w:rFonts w:ascii="Arial Narrow" w:hAnsi="Arial Narrow" w:eastAsia="Times New Roman" w:cs="Calibri"/>
          <w:color w:val="000000" w:themeColor="text1"/>
          <w:sz w:val="22"/>
          <w:szCs w:val="22"/>
          <w14:textFill>
            <w14:solidFill>
              <w14:schemeClr w14:val="tx1"/>
            </w14:solidFill>
          </w14:textFill>
        </w:rPr>
        <w:t xml:space="preserve"> 15 Weeks</w:t>
      </w:r>
    </w:p>
    <w:p w14:paraId="2B38D7A9">
      <w:pPr>
        <w:spacing w:after="0" w:line="240" w:lineRule="auto"/>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b/>
          <w:bCs/>
          <w:color w:val="000000" w:themeColor="text1"/>
          <w:sz w:val="22"/>
          <w:szCs w:val="22"/>
          <w14:textFill>
            <w14:solidFill>
              <w14:schemeClr w14:val="tx1"/>
            </w14:solidFill>
          </w14:textFill>
        </w:rPr>
        <w:t>Contact Hours</w:t>
      </w:r>
      <w:r>
        <w:rPr>
          <w:rFonts w:ascii="Arial Narrow" w:hAnsi="Arial Narrow" w:eastAsia="Times New Roman" w:cs="Calibri"/>
          <w:color w:val="000000" w:themeColor="text1"/>
          <w:sz w:val="22"/>
          <w:szCs w:val="22"/>
          <w14:textFill>
            <w14:solidFill>
              <w14:schemeClr w14:val="tx1"/>
            </w14:solidFill>
          </w14:textFill>
        </w:rPr>
        <w:t>: 45</w:t>
      </w:r>
    </w:p>
    <w:p w14:paraId="6E6D9F3A">
      <w:pPr>
        <w:spacing w:after="0" w:line="240" w:lineRule="auto"/>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b/>
          <w:bCs/>
          <w:color w:val="000000" w:themeColor="text1"/>
          <w:sz w:val="22"/>
          <w:szCs w:val="22"/>
          <w14:textFill>
            <w14:solidFill>
              <w14:schemeClr w14:val="tx1"/>
            </w14:solidFill>
          </w14:textFill>
        </w:rPr>
        <w:t>Independent Study Hours</w:t>
      </w:r>
      <w:r>
        <w:rPr>
          <w:rFonts w:ascii="Arial Narrow" w:hAnsi="Arial Narrow" w:eastAsia="Times New Roman" w:cs="Calibri"/>
          <w:color w:val="000000" w:themeColor="text1"/>
          <w:sz w:val="22"/>
          <w:szCs w:val="22"/>
          <w14:textFill>
            <w14:solidFill>
              <w14:schemeClr w14:val="tx1"/>
            </w14:solidFill>
          </w14:textFill>
        </w:rPr>
        <w:t>: 45</w:t>
      </w:r>
    </w:p>
    <w:p w14:paraId="3CC9C7F1">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p>
    <w:p w14:paraId="137C0229">
      <w:pPr>
        <w:pStyle w:val="48"/>
        <w:numPr>
          <w:ilvl w:val="0"/>
          <w:numId w:val="1"/>
        </w:numPr>
        <w:spacing w:after="0" w:line="240" w:lineRule="auto"/>
        <w:ind w:right="420"/>
        <w:outlineLvl w:val="1"/>
        <w:rPr>
          <w:rFonts w:ascii="Arial Narrow" w:hAnsi="Arial Narrow" w:eastAsia="Times New Roman" w:cs="Times New Roman"/>
          <w:b/>
          <w:bCs/>
          <w:color w:val="000000" w:themeColor="text1"/>
          <w:sz w:val="22"/>
          <w:szCs w:val="22"/>
          <w14:textFill>
            <w14:solidFill>
              <w14:schemeClr w14:val="tx1"/>
            </w14:solidFill>
          </w14:textFill>
        </w:rPr>
      </w:pPr>
      <w:r>
        <w:rPr>
          <w:rFonts w:ascii="Arial Narrow" w:hAnsi="Arial Narrow" w:eastAsia="Times New Roman" w:cs="Calibri"/>
          <w:b/>
          <w:bCs/>
          <w:color w:val="000000" w:themeColor="text1"/>
          <w:sz w:val="22"/>
          <w:szCs w:val="22"/>
          <w14:textFill>
            <w14:solidFill>
              <w14:schemeClr w14:val="tx1"/>
            </w14:solidFill>
          </w14:textFill>
        </w:rPr>
        <w:t>Course Description</w:t>
      </w:r>
    </w:p>
    <w:p w14:paraId="1202CFB3">
      <w:pPr>
        <w:widowControl w:val="0"/>
        <w:tabs>
          <w:tab w:val="left" w:pos="720"/>
        </w:tabs>
        <w:autoSpaceDE w:val="0"/>
        <w:autoSpaceDN w:val="0"/>
        <w:adjustRightInd w:val="0"/>
        <w:rPr>
          <w:rFonts w:ascii="Arial Narrow" w:hAnsi="Arial Narrow" w:cs="Arial"/>
          <w:color w:val="000000" w:themeColor="text1"/>
          <w:sz w:val="22"/>
          <w:szCs w:val="22"/>
          <w14:textFill>
            <w14:solidFill>
              <w14:schemeClr w14:val="tx1"/>
            </w14:solidFill>
          </w14:textFill>
        </w:rPr>
      </w:pPr>
      <w:r>
        <w:rPr>
          <w:rFonts w:ascii="Arial Narrow" w:hAnsi="Arial Narrow" w:cs="ArialMT"/>
          <w:color w:val="000000" w:themeColor="text1"/>
          <w:sz w:val="24"/>
          <w:szCs w:val="24"/>
          <w14:textFill>
            <w14:solidFill>
              <w14:schemeClr w14:val="tx1"/>
            </w14:solidFill>
          </w14:textFill>
        </w:rPr>
        <w:t xml:space="preserve">Public finance and public economics is the study of the effects of government actions on economic activity. It covers the concepts of market efficiency, market failure, and efficiency in taxation and spending.  This course aims to predict the effects of such actions on the economy in order to provide guidance on the choice between different alternatives. </w:t>
      </w:r>
      <w:r>
        <w:rPr>
          <w:rFonts w:ascii="Arial Narrow" w:hAnsi="Arial Narrow" w:cs="Arial"/>
          <w:color w:val="000000" w:themeColor="text1"/>
          <w:sz w:val="22"/>
          <w:szCs w:val="22"/>
          <w14:textFill>
            <w14:solidFill>
              <w14:schemeClr w14:val="tx1"/>
            </w14:solidFill>
          </w14:textFill>
        </w:rPr>
        <w:t xml:space="preserve">The course will provide students with an understanding of the principles and techniques of public finance/public economics and the implications on the general welfare of the population. </w:t>
      </w:r>
    </w:p>
    <w:p w14:paraId="233EBB19">
      <w:pPr>
        <w:pStyle w:val="48"/>
        <w:numPr>
          <w:ilvl w:val="0"/>
          <w:numId w:val="1"/>
        </w:numPr>
        <w:spacing w:after="0" w:line="240" w:lineRule="auto"/>
        <w:ind w:right="420"/>
        <w:outlineLvl w:val="1"/>
        <w:rPr>
          <w:rFonts w:ascii="Arial Narrow" w:hAnsi="Arial Narrow" w:eastAsia="Times New Roman" w:cs="Times New Roman"/>
          <w:b/>
          <w:bCs/>
          <w:color w:val="000000" w:themeColor="text1"/>
          <w:sz w:val="22"/>
          <w:szCs w:val="22"/>
          <w14:textFill>
            <w14:solidFill>
              <w14:schemeClr w14:val="tx1"/>
            </w14:solidFill>
          </w14:textFill>
        </w:rPr>
      </w:pPr>
      <w:r>
        <w:rPr>
          <w:rFonts w:ascii="Arial Narrow" w:hAnsi="Arial Narrow" w:eastAsia="Times New Roman" w:cs="Calibri"/>
          <w:b/>
          <w:bCs/>
          <w:color w:val="000000" w:themeColor="text1"/>
          <w:sz w:val="22"/>
          <w:szCs w:val="22"/>
          <w14:textFill>
            <w14:solidFill>
              <w14:schemeClr w14:val="tx1"/>
            </w14:solidFill>
          </w14:textFill>
        </w:rPr>
        <w:t>Intended Learning Outcomes </w:t>
      </w:r>
    </w:p>
    <w:p w14:paraId="389C61A2">
      <w:pPr>
        <w:spacing w:after="0" w:line="240" w:lineRule="auto"/>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color w:val="000000" w:themeColor="text1"/>
          <w:sz w:val="22"/>
          <w:szCs w:val="22"/>
          <w14:textFill>
            <w14:solidFill>
              <w14:schemeClr w14:val="tx1"/>
            </w14:solidFill>
          </w14:textFill>
        </w:rPr>
        <w:t>After successfully completing this course, students will be able to:</w:t>
      </w:r>
    </w:p>
    <w:p w14:paraId="78230F4A">
      <w:pPr>
        <w:numPr>
          <w:ilvl w:val="0"/>
          <w:numId w:val="2"/>
        </w:numPr>
        <w:spacing w:after="0" w:line="240" w:lineRule="auto"/>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Evaluate the role of government in the economy;</w:t>
      </w:r>
    </w:p>
    <w:p w14:paraId="740E84FD">
      <w:pPr>
        <w:numPr>
          <w:ilvl w:val="0"/>
          <w:numId w:val="2"/>
        </w:numPr>
        <w:spacing w:after="0" w:line="240" w:lineRule="auto"/>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Analyze the efficiency of government actions;</w:t>
      </w:r>
    </w:p>
    <w:p w14:paraId="6C10C888">
      <w:pPr>
        <w:numPr>
          <w:ilvl w:val="0"/>
          <w:numId w:val="2"/>
        </w:numPr>
        <w:spacing w:after="0" w:line="240" w:lineRule="auto"/>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Demonstrate detailed knowledge of the tax structure and public expenditure;</w:t>
      </w:r>
    </w:p>
    <w:p w14:paraId="5AE9F587">
      <w:pPr>
        <w:numPr>
          <w:ilvl w:val="0"/>
          <w:numId w:val="2"/>
        </w:numPr>
        <w:spacing w:after="0" w:line="240" w:lineRule="auto"/>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Demonstrate understanding of the preparation and coordination of government budgets;</w:t>
      </w:r>
    </w:p>
    <w:p w14:paraId="5C7D1A14">
      <w:pPr>
        <w:numPr>
          <w:ilvl w:val="0"/>
          <w:numId w:val="2"/>
        </w:numPr>
        <w:spacing w:after="0" w:line="240" w:lineRule="auto"/>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Describe and evaluate tax systems as used by mixed economies</w:t>
      </w:r>
    </w:p>
    <w:p w14:paraId="7B5FCC53">
      <w:pPr>
        <w:spacing w:after="0"/>
        <w:jc w:val="both"/>
        <w:rPr>
          <w:rFonts w:ascii="Arial Narrow" w:hAnsi="Arial Narrow" w:cs="Arial"/>
          <w:b/>
          <w:color w:val="000000" w:themeColor="text1"/>
          <w:sz w:val="22"/>
          <w:szCs w:val="22"/>
          <w14:textFill>
            <w14:solidFill>
              <w14:schemeClr w14:val="tx1"/>
            </w14:solidFill>
          </w14:textFill>
        </w:rPr>
      </w:pPr>
    </w:p>
    <w:p w14:paraId="549663AE">
      <w:pPr>
        <w:pStyle w:val="48"/>
        <w:numPr>
          <w:ilvl w:val="0"/>
          <w:numId w:val="1"/>
        </w:numPr>
        <w:spacing w:after="0"/>
        <w:jc w:val="both"/>
        <w:rPr>
          <w:rFonts w:ascii="Arial Narrow" w:hAnsi="Arial Narrow" w:cs="Arial"/>
          <w:b/>
          <w:color w:val="000000" w:themeColor="text1"/>
          <w:sz w:val="22"/>
          <w:szCs w:val="22"/>
          <w14:textFill>
            <w14:solidFill>
              <w14:schemeClr w14:val="tx1"/>
            </w14:solidFill>
          </w14:textFill>
        </w:rPr>
      </w:pPr>
      <w:r>
        <w:rPr>
          <w:rFonts w:ascii="Arial Narrow" w:hAnsi="Arial Narrow" w:cs="Arial"/>
          <w:b/>
          <w:color w:val="000000" w:themeColor="text1"/>
          <w:sz w:val="22"/>
          <w:szCs w:val="22"/>
          <w14:textFill>
            <w14:solidFill>
              <w14:schemeClr w14:val="tx1"/>
            </w14:solidFill>
          </w14:textFill>
        </w:rPr>
        <w:t>Assessment Scheme</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5"/>
        <w:gridCol w:w="1710"/>
        <w:gridCol w:w="3780"/>
      </w:tblGrid>
      <w:tr w14:paraId="0929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3955" w:type="dxa"/>
          </w:tcPr>
          <w:p w14:paraId="287AEBC5">
            <w:pPr>
              <w:spacing w:after="0" w:line="240" w:lineRule="auto"/>
              <w:jc w:val="center"/>
              <w:rPr>
                <w:rFonts w:ascii="Arial Narrow" w:hAnsi="Arial Narrow" w:eastAsia="Times New Roman" w:cs="Times New Roman"/>
                <w:b/>
                <w:i/>
                <w:color w:val="000000" w:themeColor="text1"/>
                <w:sz w:val="22"/>
                <w:szCs w:val="22"/>
                <w14:textFill>
                  <w14:solidFill>
                    <w14:schemeClr w14:val="tx1"/>
                  </w14:solidFill>
                </w14:textFill>
              </w:rPr>
            </w:pPr>
            <w:r>
              <w:rPr>
                <w:rFonts w:ascii="Arial Narrow" w:hAnsi="Arial Narrow" w:eastAsia="Times New Roman" w:cs="Calibri"/>
                <w:b/>
                <w:bCs/>
                <w:i/>
                <w:color w:val="000000" w:themeColor="text1"/>
                <w:sz w:val="22"/>
                <w:szCs w:val="22"/>
                <w14:textFill>
                  <w14:solidFill>
                    <w14:schemeClr w14:val="tx1"/>
                  </w14:solidFill>
                </w14:textFill>
              </w:rPr>
              <w:t>Assignment</w:t>
            </w:r>
          </w:p>
        </w:tc>
        <w:tc>
          <w:tcPr>
            <w:tcW w:w="1710" w:type="dxa"/>
          </w:tcPr>
          <w:p w14:paraId="0EB3AB14">
            <w:pPr>
              <w:spacing w:after="0" w:line="240" w:lineRule="auto"/>
              <w:jc w:val="center"/>
              <w:rPr>
                <w:rFonts w:ascii="Arial Narrow" w:hAnsi="Arial Narrow" w:eastAsia="Times New Roman" w:cs="Times New Roman"/>
                <w:b/>
                <w:i/>
                <w:color w:val="000000" w:themeColor="text1"/>
                <w:sz w:val="22"/>
                <w:szCs w:val="22"/>
                <w14:textFill>
                  <w14:solidFill>
                    <w14:schemeClr w14:val="tx1"/>
                  </w14:solidFill>
                </w14:textFill>
              </w:rPr>
            </w:pPr>
            <w:r>
              <w:rPr>
                <w:rFonts w:ascii="Arial Narrow" w:hAnsi="Arial Narrow" w:eastAsia="Times New Roman" w:cs="Calibri"/>
                <w:b/>
                <w:bCs/>
                <w:i/>
                <w:color w:val="000000" w:themeColor="text1"/>
                <w:sz w:val="22"/>
                <w:szCs w:val="22"/>
                <w14:textFill>
                  <w14:solidFill>
                    <w14:schemeClr w14:val="tx1"/>
                  </w14:solidFill>
                </w14:textFill>
              </w:rPr>
              <w:t>Weight</w:t>
            </w:r>
          </w:p>
        </w:tc>
        <w:tc>
          <w:tcPr>
            <w:tcW w:w="3780" w:type="dxa"/>
          </w:tcPr>
          <w:p w14:paraId="1DB6CED2">
            <w:pPr>
              <w:spacing w:after="0" w:line="240" w:lineRule="auto"/>
              <w:jc w:val="center"/>
              <w:rPr>
                <w:rFonts w:ascii="Arial Narrow" w:hAnsi="Arial Narrow" w:eastAsia="Times New Roman" w:cs="Calibri"/>
                <w:b/>
                <w:bCs/>
                <w:i/>
                <w:color w:val="000000" w:themeColor="text1"/>
                <w:sz w:val="22"/>
                <w:szCs w:val="22"/>
                <w14:textFill>
                  <w14:solidFill>
                    <w14:schemeClr w14:val="tx1"/>
                  </w14:solidFill>
                </w14:textFill>
              </w:rPr>
            </w:pPr>
            <w:r>
              <w:rPr>
                <w:rFonts w:ascii="Arial Narrow" w:hAnsi="Arial Narrow" w:eastAsia="Times New Roman" w:cs="Calibri"/>
                <w:b/>
                <w:bCs/>
                <w:i/>
                <w:color w:val="000000" w:themeColor="text1"/>
                <w:sz w:val="22"/>
                <w:szCs w:val="22"/>
                <w14:textFill>
                  <w14:solidFill>
                    <w14:schemeClr w14:val="tx1"/>
                  </w14:solidFill>
                </w14:textFill>
              </w:rPr>
              <w:t>Due date</w:t>
            </w:r>
          </w:p>
        </w:tc>
      </w:tr>
      <w:tr w14:paraId="6733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3955" w:type="dxa"/>
          </w:tcPr>
          <w:p w14:paraId="2BF614A7">
            <w:pPr>
              <w:spacing w:after="0" w:line="240" w:lineRule="auto"/>
              <w:jc w:val="both"/>
              <w:rPr>
                <w:rFonts w:hint="default" w:ascii="Arial Narrow" w:hAnsi="Arial Narrow" w:cs="Arial"/>
                <w:color w:val="000000" w:themeColor="text1"/>
                <w:sz w:val="22"/>
                <w:szCs w:val="22"/>
                <w:lang w:val="en-US"/>
                <w14:textFill>
                  <w14:solidFill>
                    <w14:schemeClr w14:val="tx1"/>
                  </w14:solidFill>
                </w14:textFill>
              </w:rPr>
            </w:pPr>
            <w:r>
              <w:rPr>
                <w:rFonts w:hint="default" w:ascii="Arial Narrow" w:hAnsi="Arial Narrow" w:cs="Arial"/>
                <w:color w:val="000000" w:themeColor="text1"/>
                <w:sz w:val="22"/>
                <w:szCs w:val="22"/>
                <w:lang w:val="en-US"/>
                <w14:textFill>
                  <w14:solidFill>
                    <w14:schemeClr w14:val="tx1"/>
                  </w14:solidFill>
                </w14:textFill>
              </w:rPr>
              <w:t>Assessment 1</w:t>
            </w:r>
          </w:p>
          <w:p w14:paraId="09405F52">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p>
        </w:tc>
        <w:tc>
          <w:tcPr>
            <w:tcW w:w="1710" w:type="dxa"/>
          </w:tcPr>
          <w:p w14:paraId="05958C68">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r>
              <w:rPr>
                <w:rFonts w:ascii="Arial Narrow" w:hAnsi="Arial Narrow" w:eastAsia="Times New Roman" w:cs="Times New Roman"/>
                <w:color w:val="000000" w:themeColor="text1"/>
                <w:sz w:val="22"/>
                <w:szCs w:val="22"/>
                <w14:textFill>
                  <w14:solidFill>
                    <w14:schemeClr w14:val="tx1"/>
                  </w14:solidFill>
                </w14:textFill>
              </w:rPr>
              <w:t>25%</w:t>
            </w:r>
          </w:p>
        </w:tc>
        <w:tc>
          <w:tcPr>
            <w:tcW w:w="3780" w:type="dxa"/>
          </w:tcPr>
          <w:p w14:paraId="55382D6C">
            <w:pPr>
              <w:spacing w:after="0" w:line="240" w:lineRule="auto"/>
              <w:rPr>
                <w:rFonts w:ascii="Arial Narrow" w:hAnsi="Arial Narrow" w:eastAsia="Times New Roman" w:cs="Calibri"/>
                <w:b/>
                <w:color w:val="000000" w:themeColor="text1"/>
                <w:sz w:val="22"/>
                <w:szCs w:val="22"/>
                <w14:textFill>
                  <w14:solidFill>
                    <w14:schemeClr w14:val="tx1"/>
                  </w14:solidFill>
                </w14:textFill>
              </w:rPr>
            </w:pPr>
            <w:r>
              <w:rPr>
                <w:rFonts w:ascii="Arial Narrow" w:hAnsi="Arial Narrow" w:eastAsia="Times New Roman" w:cs="Calibri"/>
                <w:b/>
                <w:color w:val="000000" w:themeColor="text1"/>
                <w:sz w:val="22"/>
                <w:szCs w:val="22"/>
                <w14:textFill>
                  <w14:solidFill>
                    <w14:schemeClr w14:val="tx1"/>
                  </w14:solidFill>
                </w14:textFill>
              </w:rPr>
              <w:t>September 1</w:t>
            </w:r>
            <w:r>
              <w:rPr>
                <w:rFonts w:hint="default" w:ascii="Arial Narrow" w:hAnsi="Arial Narrow" w:eastAsia="Times New Roman" w:cs="Calibri"/>
                <w:b/>
                <w:color w:val="000000" w:themeColor="text1"/>
                <w:sz w:val="22"/>
                <w:szCs w:val="22"/>
                <w:lang w:val="en-US"/>
                <w14:textFill>
                  <w14:solidFill>
                    <w14:schemeClr w14:val="tx1"/>
                  </w14:solidFill>
                </w14:textFill>
              </w:rPr>
              <w:t>7</w:t>
            </w:r>
            <w:r>
              <w:rPr>
                <w:rFonts w:ascii="Arial Narrow" w:hAnsi="Arial Narrow" w:eastAsia="Times New Roman" w:cs="Calibri"/>
                <w:b/>
                <w:color w:val="000000" w:themeColor="text1"/>
                <w:sz w:val="22"/>
                <w:szCs w:val="22"/>
                <w14:textFill>
                  <w14:solidFill>
                    <w14:schemeClr w14:val="tx1"/>
                  </w14:solidFill>
                </w14:textFill>
              </w:rPr>
              <w:t>th</w:t>
            </w:r>
          </w:p>
        </w:tc>
      </w:tr>
      <w:tr w14:paraId="47A2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3955" w:type="dxa"/>
          </w:tcPr>
          <w:p w14:paraId="204B60AF">
            <w:pPr>
              <w:spacing w:after="0" w:line="240" w:lineRule="auto"/>
              <w:jc w:val="both"/>
              <w:rPr>
                <w:rFonts w:hint="default" w:ascii="Arial Narrow" w:hAnsi="Arial Narrow" w:cs="Arial"/>
                <w:color w:val="000000" w:themeColor="text1"/>
                <w:sz w:val="22"/>
                <w:szCs w:val="22"/>
                <w:lang w:val="en-US"/>
                <w14:textFill>
                  <w14:solidFill>
                    <w14:schemeClr w14:val="tx1"/>
                  </w14:solidFill>
                </w14:textFill>
              </w:rPr>
            </w:pPr>
            <w:r>
              <w:rPr>
                <w:rFonts w:hint="default" w:ascii="Arial Narrow" w:hAnsi="Arial Narrow" w:cs="Arial"/>
                <w:color w:val="000000" w:themeColor="text1"/>
                <w:sz w:val="22"/>
                <w:szCs w:val="22"/>
                <w:lang w:val="en-US"/>
                <w14:textFill>
                  <w14:solidFill>
                    <w14:schemeClr w14:val="tx1"/>
                  </w14:solidFill>
                </w14:textFill>
              </w:rPr>
              <w:t>Assessment  2</w:t>
            </w:r>
          </w:p>
        </w:tc>
        <w:tc>
          <w:tcPr>
            <w:tcW w:w="1710" w:type="dxa"/>
          </w:tcPr>
          <w:p w14:paraId="06C8DDB0">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r>
              <w:rPr>
                <w:rFonts w:ascii="Arial Narrow" w:hAnsi="Arial Narrow" w:eastAsia="Times New Roman" w:cs="Times New Roman"/>
                <w:color w:val="000000" w:themeColor="text1"/>
                <w:sz w:val="22"/>
                <w:szCs w:val="22"/>
                <w14:textFill>
                  <w14:solidFill>
                    <w14:schemeClr w14:val="tx1"/>
                  </w14:solidFill>
                </w14:textFill>
              </w:rPr>
              <w:t>35%</w:t>
            </w:r>
          </w:p>
        </w:tc>
        <w:tc>
          <w:tcPr>
            <w:tcW w:w="3780" w:type="dxa"/>
          </w:tcPr>
          <w:p w14:paraId="62ED60AF">
            <w:pPr>
              <w:spacing w:after="0" w:line="240" w:lineRule="auto"/>
              <w:rPr>
                <w:rFonts w:ascii="Arial Narrow" w:hAnsi="Arial Narrow" w:eastAsia="Times New Roman" w:cs="Calibri"/>
                <w:bCs/>
                <w:color w:val="000000" w:themeColor="text1"/>
                <w:sz w:val="22"/>
                <w:szCs w:val="22"/>
                <w14:textFill>
                  <w14:solidFill>
                    <w14:schemeClr w14:val="tx1"/>
                  </w14:solidFill>
                </w14:textFill>
              </w:rPr>
            </w:pPr>
            <w:r>
              <w:rPr>
                <w:rFonts w:ascii="Arial Narrow" w:hAnsi="Arial Narrow" w:eastAsia="Times New Roman" w:cs="Calibri"/>
                <w:b/>
                <w:color w:val="000000" w:themeColor="text1"/>
                <w:sz w:val="22"/>
                <w:szCs w:val="22"/>
                <w14:textFill>
                  <w14:solidFill>
                    <w14:schemeClr w14:val="tx1"/>
                  </w14:solidFill>
                </w14:textFill>
              </w:rPr>
              <w:t xml:space="preserve">November </w:t>
            </w:r>
            <w:r>
              <w:rPr>
                <w:rFonts w:hint="default" w:ascii="Arial Narrow" w:hAnsi="Arial Narrow" w:eastAsia="Times New Roman" w:cs="Calibri"/>
                <w:b/>
                <w:color w:val="000000" w:themeColor="text1"/>
                <w:sz w:val="22"/>
                <w:szCs w:val="22"/>
                <w:lang w:val="en-US"/>
                <w14:textFill>
                  <w14:solidFill>
                    <w14:schemeClr w14:val="tx1"/>
                  </w14:solidFill>
                </w14:textFill>
              </w:rPr>
              <w:t>5</w:t>
            </w:r>
            <w:r>
              <w:rPr>
                <w:rFonts w:ascii="Arial Narrow" w:hAnsi="Arial Narrow" w:eastAsia="Times New Roman" w:cs="Calibri"/>
                <w:b/>
                <w:color w:val="000000" w:themeColor="text1"/>
                <w:sz w:val="22"/>
                <w:szCs w:val="22"/>
                <w14:textFill>
                  <w14:solidFill>
                    <w14:schemeClr w14:val="tx1"/>
                  </w14:solidFill>
                </w14:textFill>
              </w:rPr>
              <w:t>th</w:t>
            </w:r>
          </w:p>
        </w:tc>
      </w:tr>
      <w:tr w14:paraId="2296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955" w:type="dxa"/>
          </w:tcPr>
          <w:p w14:paraId="77B41C86">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r>
              <w:rPr>
                <w:rFonts w:ascii="Arial Narrow" w:hAnsi="Arial Narrow" w:eastAsia="Times New Roman" w:cs="Calibri"/>
                <w:bCs/>
                <w:color w:val="000000" w:themeColor="text1"/>
                <w:sz w:val="22"/>
                <w:szCs w:val="22"/>
                <w14:textFill>
                  <w14:solidFill>
                    <w14:schemeClr w14:val="tx1"/>
                  </w14:solidFill>
                </w14:textFill>
              </w:rPr>
              <w:t>Final Assessment (Includes Term Paper, Presentation (5%); and In-class assessment)</w:t>
            </w:r>
          </w:p>
        </w:tc>
        <w:tc>
          <w:tcPr>
            <w:tcW w:w="1710" w:type="dxa"/>
          </w:tcPr>
          <w:p w14:paraId="53B73A70">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r>
              <w:rPr>
                <w:rFonts w:ascii="Arial Narrow" w:hAnsi="Arial Narrow" w:eastAsia="Times New Roman" w:cs="Calibri"/>
                <w:bCs/>
                <w:color w:val="000000" w:themeColor="text1"/>
                <w:sz w:val="22"/>
                <w:szCs w:val="22"/>
                <w14:textFill>
                  <w14:solidFill>
                    <w14:schemeClr w14:val="tx1"/>
                  </w14:solidFill>
                </w14:textFill>
              </w:rPr>
              <w:t>40%</w:t>
            </w:r>
          </w:p>
        </w:tc>
        <w:tc>
          <w:tcPr>
            <w:tcW w:w="3780" w:type="dxa"/>
          </w:tcPr>
          <w:p w14:paraId="3749BAF9">
            <w:pPr>
              <w:spacing w:after="0" w:line="240" w:lineRule="auto"/>
              <w:rPr>
                <w:rFonts w:ascii="Arial Narrow" w:hAnsi="Arial Narrow" w:eastAsia="Times New Roman" w:cs="Calibri"/>
                <w:b/>
                <w:color w:val="000000" w:themeColor="text1"/>
                <w:sz w:val="22"/>
                <w:szCs w:val="22"/>
                <w14:textFill>
                  <w14:solidFill>
                    <w14:schemeClr w14:val="tx1"/>
                  </w14:solidFill>
                </w14:textFill>
              </w:rPr>
            </w:pPr>
            <w:r>
              <w:rPr>
                <w:rFonts w:ascii="Arial Narrow" w:hAnsi="Arial Narrow" w:eastAsia="Times New Roman" w:cs="Calibri"/>
                <w:b/>
                <w:color w:val="000000" w:themeColor="text1"/>
                <w:sz w:val="22"/>
                <w:szCs w:val="22"/>
                <w14:textFill>
                  <w14:solidFill>
                    <w14:schemeClr w14:val="tx1"/>
                  </w14:solidFill>
                </w14:textFill>
              </w:rPr>
              <w:t xml:space="preserve">Due December </w:t>
            </w:r>
            <w:r>
              <w:rPr>
                <w:rFonts w:hint="default" w:ascii="Arial Narrow" w:hAnsi="Arial Narrow" w:eastAsia="Times New Roman" w:cs="Calibri"/>
                <w:b/>
                <w:color w:val="000000" w:themeColor="text1"/>
                <w:sz w:val="22"/>
                <w:szCs w:val="22"/>
                <w:lang w:val="en-US"/>
                <w14:textFill>
                  <w14:solidFill>
                    <w14:schemeClr w14:val="tx1"/>
                  </w14:solidFill>
                </w14:textFill>
              </w:rPr>
              <w:t>10</w:t>
            </w:r>
            <w:r>
              <w:rPr>
                <w:rFonts w:ascii="Arial Narrow" w:hAnsi="Arial Narrow" w:eastAsia="Times New Roman" w:cs="Calibri"/>
                <w:b/>
                <w:color w:val="000000" w:themeColor="text1"/>
                <w:sz w:val="22"/>
                <w:szCs w:val="22"/>
                <w14:textFill>
                  <w14:solidFill>
                    <w14:schemeClr w14:val="tx1"/>
                  </w14:solidFill>
                </w14:textFill>
              </w:rPr>
              <w:t>th</w:t>
            </w:r>
          </w:p>
        </w:tc>
      </w:tr>
      <w:tr w14:paraId="7A47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3955" w:type="dxa"/>
          </w:tcPr>
          <w:p w14:paraId="085B8878">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r>
              <w:rPr>
                <w:rFonts w:ascii="Arial Narrow" w:hAnsi="Arial Narrow" w:eastAsia="Times New Roman" w:cs="Calibri"/>
                <w:bCs/>
                <w:color w:val="000000" w:themeColor="text1"/>
                <w:sz w:val="22"/>
                <w:szCs w:val="22"/>
                <w14:textFill>
                  <w14:solidFill>
                    <w14:schemeClr w14:val="tx1"/>
                  </w14:solidFill>
                </w14:textFill>
              </w:rPr>
              <w:t>Total</w:t>
            </w:r>
          </w:p>
        </w:tc>
        <w:tc>
          <w:tcPr>
            <w:tcW w:w="1710" w:type="dxa"/>
          </w:tcPr>
          <w:p w14:paraId="3A8F2BAD">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r>
              <w:rPr>
                <w:rFonts w:ascii="Arial Narrow" w:hAnsi="Arial Narrow" w:eastAsia="Times New Roman" w:cs="Calibri"/>
                <w:bCs/>
                <w:color w:val="000000" w:themeColor="text1"/>
                <w:sz w:val="22"/>
                <w:szCs w:val="22"/>
                <w14:textFill>
                  <w14:solidFill>
                    <w14:schemeClr w14:val="tx1"/>
                  </w14:solidFill>
                </w14:textFill>
              </w:rPr>
              <w:t>100%</w:t>
            </w:r>
          </w:p>
        </w:tc>
        <w:tc>
          <w:tcPr>
            <w:tcW w:w="3780" w:type="dxa"/>
          </w:tcPr>
          <w:p w14:paraId="218B5BA6">
            <w:pPr>
              <w:spacing w:after="0" w:line="240" w:lineRule="auto"/>
              <w:rPr>
                <w:rFonts w:ascii="Arial Narrow" w:hAnsi="Arial Narrow" w:eastAsia="Times New Roman" w:cs="Calibri"/>
                <w:bCs/>
                <w:color w:val="000000" w:themeColor="text1"/>
                <w:sz w:val="22"/>
                <w:szCs w:val="22"/>
                <w14:textFill>
                  <w14:solidFill>
                    <w14:schemeClr w14:val="tx1"/>
                  </w14:solidFill>
                </w14:textFill>
              </w:rPr>
            </w:pPr>
          </w:p>
        </w:tc>
      </w:tr>
    </w:tbl>
    <w:p w14:paraId="38737BF5">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5C8A9A18">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60816281">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78469870">
      <w:pPr>
        <w:spacing w:after="0"/>
        <w:jc w:val="both"/>
        <w:rPr>
          <w:rFonts w:ascii="Arial Narrow" w:hAnsi="Arial Narrow" w:cs="Arial"/>
          <w:b/>
          <w:i/>
          <w:iCs/>
          <w:color w:val="000000" w:themeColor="text1"/>
          <w:sz w:val="22"/>
          <w:szCs w:val="22"/>
          <w14:textFill>
            <w14:solidFill>
              <w14:schemeClr w14:val="tx1"/>
            </w14:solidFill>
          </w14:textFill>
        </w:rPr>
      </w:pPr>
      <w:r>
        <w:rPr>
          <w:rFonts w:ascii="Arial Narrow" w:hAnsi="Arial Narrow" w:cs="Arial"/>
          <w:b/>
          <w:i/>
          <w:iCs/>
          <w:color w:val="000000" w:themeColor="text1"/>
          <w:sz w:val="22"/>
          <w:szCs w:val="22"/>
          <w14:textFill>
            <w14:solidFill>
              <w14:schemeClr w14:val="tx1"/>
            </w14:solidFill>
          </w14:textFill>
        </w:rPr>
        <w:t>Presentation Grading Rubric</w:t>
      </w:r>
    </w:p>
    <w:p w14:paraId="4752F068">
      <w:pPr>
        <w:spacing w:after="0"/>
        <w:jc w:val="both"/>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Your presentation will be your choice of any topic discussed in class during the semester. Presentations will be assessed based on the following criteria:</w:t>
      </w:r>
    </w:p>
    <w:p w14:paraId="53DD9907">
      <w:pPr>
        <w:spacing w:after="0"/>
        <w:jc w:val="both"/>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Clarity of PPT slides:                                                  1%</w:t>
      </w:r>
    </w:p>
    <w:p w14:paraId="774473D0">
      <w:pPr>
        <w:spacing w:after="0"/>
        <w:jc w:val="both"/>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Knowledge of topic:                                                    1%</w:t>
      </w:r>
    </w:p>
    <w:p w14:paraId="181BDD57">
      <w:pPr>
        <w:spacing w:after="0"/>
        <w:jc w:val="both"/>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Examples and Application to real-life scenarios:        3%</w:t>
      </w:r>
    </w:p>
    <w:p w14:paraId="0006FFF1">
      <w:pPr>
        <w:spacing w:after="0"/>
        <w:jc w:val="both"/>
        <w:rPr>
          <w:rFonts w:ascii="Arial Narrow" w:hAnsi="Arial Narrow" w:cs="Arial"/>
          <w:b/>
          <w:color w:val="000000" w:themeColor="text1"/>
          <w:sz w:val="22"/>
          <w:szCs w:val="22"/>
          <w14:textFill>
            <w14:solidFill>
              <w14:schemeClr w14:val="tx1"/>
            </w14:solidFill>
          </w14:textFill>
        </w:rPr>
      </w:pPr>
      <w:r>
        <w:rPr>
          <w:rFonts w:ascii="Arial Narrow" w:hAnsi="Arial Narrow" w:cs="Arial"/>
          <w:b/>
          <w:color w:val="000000" w:themeColor="text1"/>
          <w:sz w:val="22"/>
          <w:szCs w:val="22"/>
          <w14:textFill>
            <w14:solidFill>
              <w14:schemeClr w14:val="tx1"/>
            </w14:solidFill>
          </w14:textFill>
        </w:rPr>
        <w:t>Total:                                                                          5 %</w:t>
      </w:r>
    </w:p>
    <w:p w14:paraId="77168F45">
      <w:pPr>
        <w:spacing w:after="0"/>
        <w:jc w:val="both"/>
        <w:rPr>
          <w:rFonts w:ascii="Arial Narrow" w:hAnsi="Arial Narrow" w:cs="Arial"/>
          <w:b/>
          <w:color w:val="000000" w:themeColor="text1"/>
          <w:sz w:val="22"/>
          <w:szCs w:val="22"/>
          <w14:textFill>
            <w14:solidFill>
              <w14:schemeClr w14:val="tx1"/>
            </w14:solidFill>
          </w14:textFill>
        </w:rPr>
      </w:pPr>
    </w:p>
    <w:p w14:paraId="15D9CBFA">
      <w:pPr>
        <w:pStyle w:val="48"/>
        <w:numPr>
          <w:ilvl w:val="0"/>
          <w:numId w:val="1"/>
        </w:numPr>
        <w:spacing w:after="0"/>
        <w:rPr>
          <w:rFonts w:ascii="Arial Narrow" w:hAnsi="Arial Narrow" w:cs="Arial"/>
          <w:b/>
          <w:color w:val="000000" w:themeColor="text1"/>
          <w:sz w:val="22"/>
          <w:szCs w:val="22"/>
          <w14:textFill>
            <w14:solidFill>
              <w14:schemeClr w14:val="tx1"/>
            </w14:solidFill>
          </w14:textFill>
        </w:rPr>
      </w:pPr>
      <w:r>
        <w:rPr>
          <w:rFonts w:ascii="Arial Narrow" w:hAnsi="Arial Narrow" w:cs="Arial"/>
          <w:b/>
          <w:color w:val="000000" w:themeColor="text1"/>
          <w:sz w:val="22"/>
          <w:szCs w:val="22"/>
          <w14:textFill>
            <w14:solidFill>
              <w14:schemeClr w14:val="tx1"/>
            </w14:solidFill>
          </w14:textFill>
        </w:rPr>
        <w:t>Course Learning Activities</w:t>
      </w:r>
    </w:p>
    <w:p w14:paraId="5F72F283">
      <w:pPr>
        <w:spacing w:after="0"/>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Lectures    …………………………………………………………...45 hours</w:t>
      </w:r>
    </w:p>
    <w:p w14:paraId="57CE6A5F">
      <w:pPr>
        <w:spacing w:after="0"/>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Reading for reinforcing lecture materials (1 hour per week…….15 hours</w:t>
      </w:r>
    </w:p>
    <w:p w14:paraId="24D3B619">
      <w:pPr>
        <w:spacing w:after="0"/>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Consultations with instructor …………..……….…………………10 hours</w:t>
      </w:r>
    </w:p>
    <w:p w14:paraId="68FDB306">
      <w:pPr>
        <w:spacing w:after="0"/>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Researching to prepare course project hours………………...…30 hours</w:t>
      </w:r>
    </w:p>
    <w:p w14:paraId="67C9D421">
      <w:pPr>
        <w:spacing w:after="0"/>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Writing the project………………………….……………………….15 hours</w:t>
      </w:r>
    </w:p>
    <w:p w14:paraId="44DBE5DB">
      <w:pPr>
        <w:spacing w:after="0"/>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Reading to prepare for exams……………………………………..20 hours</w:t>
      </w:r>
    </w:p>
    <w:p w14:paraId="430DE3AA">
      <w:pPr>
        <w:spacing w:after="0"/>
        <w:ind w:left="708"/>
        <w:rPr>
          <w:rFonts w:ascii="Arial Narrow" w:hAnsi="Arial Narrow" w:cs="Arial"/>
          <w:b/>
          <w:color w:val="000000" w:themeColor="text1"/>
          <w:sz w:val="22"/>
          <w:szCs w:val="22"/>
          <w14:textFill>
            <w14:solidFill>
              <w14:schemeClr w14:val="tx1"/>
            </w14:solidFill>
          </w14:textFill>
        </w:rPr>
      </w:pPr>
      <w:r>
        <w:rPr>
          <w:rFonts w:ascii="Arial Narrow" w:hAnsi="Arial Narrow" w:cs="Arial"/>
          <w:b/>
          <w:color w:val="000000" w:themeColor="text1"/>
          <w:sz w:val="22"/>
          <w:szCs w:val="22"/>
          <w14:textFill>
            <w14:solidFill>
              <w14:schemeClr w14:val="tx1"/>
            </w14:solidFill>
          </w14:textFill>
        </w:rPr>
        <w:t xml:space="preserve">                                                         Total: 45 + 90 = 135 hours</w:t>
      </w:r>
    </w:p>
    <w:p w14:paraId="45F8E3C3">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3B75BCF1">
      <w:pPr>
        <w:pStyle w:val="48"/>
        <w:numPr>
          <w:ilvl w:val="0"/>
          <w:numId w:val="1"/>
        </w:num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r>
        <w:rPr>
          <w:rFonts w:ascii="Arial Narrow" w:hAnsi="Arial Narrow" w:cs="Arial Unicode MS"/>
          <w:b/>
          <w:bCs/>
          <w:color w:val="000000" w:themeColor="text1"/>
          <w:sz w:val="22"/>
          <w:szCs w:val="22"/>
          <w:u w:color="000000"/>
          <w14:textFill>
            <w14:solidFill>
              <w14:schemeClr w14:val="tx1"/>
            </w14:solidFill>
          </w14:textFill>
        </w:rPr>
        <w:t>Grading Scale</w:t>
      </w:r>
    </w:p>
    <w:tbl>
      <w:tblPr>
        <w:tblStyle w:val="12"/>
        <w:tblW w:w="8788" w:type="dxa"/>
        <w:tblInd w:w="-9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CellMar>
          <w:top w:w="0" w:type="dxa"/>
          <w:left w:w="108" w:type="dxa"/>
          <w:bottom w:w="0" w:type="dxa"/>
          <w:right w:w="108" w:type="dxa"/>
        </w:tblCellMar>
      </w:tblPr>
      <w:tblGrid>
        <w:gridCol w:w="4529"/>
        <w:gridCol w:w="4259"/>
      </w:tblGrid>
      <w:tr w14:paraId="6F9DA5E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108" w:type="dxa"/>
            <w:bottom w:w="0" w:type="dxa"/>
            <w:right w:w="108" w:type="dxa"/>
          </w:tblCellMar>
        </w:tblPrEx>
        <w:trPr>
          <w:trHeight w:val="1402" w:hRule="atLeast"/>
        </w:trPr>
        <w:tc>
          <w:tcPr>
            <w:tcW w:w="4529" w:type="dxa"/>
            <w:tcBorders>
              <w:top w:val="dotted" w:color="000000" w:sz="4" w:space="0"/>
              <w:left w:val="dotted" w:color="000000" w:sz="4" w:space="0"/>
              <w:bottom w:val="dotted" w:color="000000" w:sz="4" w:space="0"/>
              <w:right w:val="dotted" w:color="000000" w:sz="4" w:space="0"/>
            </w:tcBorders>
            <w:shd w:val="clear" w:color="auto" w:fill="auto"/>
            <w:tcMar>
              <w:top w:w="80" w:type="dxa"/>
              <w:left w:w="80" w:type="dxa"/>
              <w:bottom w:w="80" w:type="dxa"/>
              <w:right w:w="80" w:type="dxa"/>
            </w:tcMar>
          </w:tcPr>
          <w:p w14:paraId="2EDE47D0">
            <w:pPr>
              <w:spacing w:after="0" w:line="240" w:lineRule="auto"/>
              <w:jc w:val="both"/>
              <w:rPr>
                <w:rFonts w:ascii="Arial Narrow" w:hAnsi="Arial Narrow" w:eastAsia="Times New Roman"/>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90-100      Pass        A+</w:t>
            </w:r>
          </w:p>
          <w:p w14:paraId="2075BD5F">
            <w:pPr>
              <w:spacing w:after="0" w:line="240" w:lineRule="auto"/>
              <w:jc w:val="both"/>
              <w:rPr>
                <w:rFonts w:ascii="Arial Narrow" w:hAnsi="Arial Narrow" w:eastAsia="Times New Roman"/>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85-89        Pass        A</w:t>
            </w:r>
          </w:p>
          <w:p w14:paraId="5FEEB1F0">
            <w:pPr>
              <w:spacing w:after="0" w:line="240" w:lineRule="auto"/>
              <w:jc w:val="both"/>
              <w:rPr>
                <w:rFonts w:ascii="Arial Narrow" w:hAnsi="Arial Narrow" w:eastAsia="Times New Roman"/>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80-84        Pass        A-</w:t>
            </w:r>
          </w:p>
          <w:p w14:paraId="632D2884">
            <w:pPr>
              <w:spacing w:after="0" w:line="240" w:lineRule="auto"/>
              <w:jc w:val="both"/>
              <w:rPr>
                <w:rFonts w:ascii="Arial Narrow" w:hAnsi="Arial Narrow" w:eastAsia="Times New Roman"/>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77-79        Pass        B+</w:t>
            </w:r>
          </w:p>
          <w:p w14:paraId="5678321C">
            <w:pPr>
              <w:spacing w:after="0" w:line="240" w:lineRule="auto"/>
              <w:jc w:val="both"/>
              <w:rPr>
                <w:rFonts w:ascii="Arial Narrow" w:hAnsi="Arial Narrow" w:eastAsia="Times New Roman"/>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73-76        Pass        B</w:t>
            </w:r>
          </w:p>
          <w:p w14:paraId="5C273410">
            <w:pPr>
              <w:spacing w:after="0" w:line="240" w:lineRule="auto"/>
              <w:jc w:val="both"/>
              <w:rPr>
                <w:rFonts w:ascii="Arial Narrow" w:hAnsi="Arial Narrow" w:eastAsia="Times New Roman"/>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70-72        Pass        B-</w:t>
            </w:r>
          </w:p>
          <w:p w14:paraId="6705261F">
            <w:pPr>
              <w:spacing w:after="0" w:line="240" w:lineRule="auto"/>
              <w:jc w:val="both"/>
              <w:rPr>
                <w:rFonts w:ascii="Arial Narrow" w:hAnsi="Arial Narrow"/>
                <w:color w:val="000000" w:themeColor="text1"/>
                <w:sz w:val="22"/>
                <w:szCs w:val="22"/>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67-69        Pass        C+</w:t>
            </w:r>
          </w:p>
        </w:tc>
        <w:tc>
          <w:tcPr>
            <w:tcW w:w="4259" w:type="dxa"/>
            <w:tcBorders>
              <w:top w:val="dotted" w:color="000000" w:sz="4" w:space="0"/>
              <w:left w:val="dotted" w:color="000000" w:sz="4" w:space="0"/>
              <w:bottom w:val="dotted" w:color="000000" w:sz="4" w:space="0"/>
              <w:right w:val="dotted" w:color="000000" w:sz="4" w:space="0"/>
            </w:tcBorders>
            <w:shd w:val="clear" w:color="auto" w:fill="auto"/>
            <w:tcMar>
              <w:top w:w="80" w:type="dxa"/>
              <w:left w:w="80" w:type="dxa"/>
              <w:bottom w:w="80" w:type="dxa"/>
              <w:right w:w="80" w:type="dxa"/>
            </w:tcMar>
          </w:tcPr>
          <w:p w14:paraId="4B946B12">
            <w:pPr>
              <w:spacing w:after="0" w:line="240" w:lineRule="auto"/>
              <w:jc w:val="both"/>
              <w:rPr>
                <w:rFonts w:ascii="Arial Narrow" w:hAnsi="Arial Narrow" w:eastAsia="Times New Roman"/>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63-66        Pass        C</w:t>
            </w:r>
          </w:p>
          <w:p w14:paraId="17DC7C64">
            <w:pPr>
              <w:spacing w:after="0" w:line="240" w:lineRule="auto"/>
              <w:jc w:val="both"/>
              <w:rPr>
                <w:rFonts w:ascii="Arial Narrow" w:hAnsi="Arial Narrow" w:eastAsia="Times New Roman"/>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60-62        Pass        C-</w:t>
            </w:r>
          </w:p>
          <w:p w14:paraId="009CBC8F">
            <w:pPr>
              <w:spacing w:after="0" w:line="240" w:lineRule="auto"/>
              <w:jc w:val="both"/>
              <w:rPr>
                <w:rFonts w:ascii="Arial Narrow" w:hAnsi="Arial Narrow" w:eastAsia="Times New Roman"/>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57-59        Pass        D+</w:t>
            </w:r>
          </w:p>
          <w:p w14:paraId="17FA5E38">
            <w:pPr>
              <w:spacing w:after="0" w:line="240" w:lineRule="auto"/>
              <w:jc w:val="both"/>
              <w:rPr>
                <w:rFonts w:ascii="Arial Narrow" w:hAnsi="Arial Narrow" w:eastAsia="Times New Roman"/>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53-56        Pass        D</w:t>
            </w:r>
          </w:p>
          <w:p w14:paraId="7AFD3A85">
            <w:pPr>
              <w:spacing w:after="0" w:line="240" w:lineRule="auto"/>
              <w:jc w:val="both"/>
              <w:rPr>
                <w:rFonts w:ascii="Arial Narrow" w:hAnsi="Arial Narrow" w:eastAsia="Times New Roman"/>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50-52        Pass        D-</w:t>
            </w:r>
          </w:p>
          <w:p w14:paraId="5FBB0427">
            <w:pPr>
              <w:spacing w:after="0" w:line="240" w:lineRule="auto"/>
              <w:jc w:val="both"/>
              <w:rPr>
                <w:rFonts w:ascii="Arial Narrow" w:hAnsi="Arial Narrow" w:eastAsia="Times New Roman"/>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 xml:space="preserve">Below 50  Fail           F    </w:t>
            </w:r>
          </w:p>
          <w:p w14:paraId="249B29C1">
            <w:pPr>
              <w:spacing w:after="0" w:line="240" w:lineRule="auto"/>
              <w:jc w:val="both"/>
              <w:rPr>
                <w:rFonts w:ascii="Arial Narrow" w:hAnsi="Arial Narrow"/>
                <w:color w:val="000000" w:themeColor="text1"/>
                <w:sz w:val="22"/>
                <w:szCs w:val="22"/>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                       </w:t>
            </w:r>
          </w:p>
        </w:tc>
      </w:tr>
    </w:tbl>
    <w:p w14:paraId="328B533D">
      <w:pPr>
        <w:ind w:left="-180" w:firstLine="180"/>
        <w:rPr>
          <w:rFonts w:hint="default" w:ascii="Arial Narrow" w:hAnsi="Arial Narrow" w:cs="Arial"/>
          <w:bCs/>
          <w:color w:val="000000" w:themeColor="text1"/>
          <w:sz w:val="22"/>
          <w:szCs w:val="22"/>
          <w:lang w:val="en-US"/>
          <w14:textFill>
            <w14:solidFill>
              <w14:schemeClr w14:val="tx1"/>
            </w14:solidFill>
          </w14:textFill>
        </w:rPr>
      </w:pPr>
      <w:r>
        <w:rPr>
          <w:rFonts w:ascii="Arial" w:hAnsi="Arial" w:cs="Arial"/>
          <w:bCs/>
          <w:color w:val="000000" w:themeColor="text1"/>
          <w:sz w:val="24"/>
          <w:szCs w:val="24"/>
          <w14:textFill>
            <w14:solidFill>
              <w14:schemeClr w14:val="tx1"/>
            </w14:solidFill>
          </w14:textFill>
        </w:rPr>
        <w:t xml:space="preserve">   </w:t>
      </w:r>
      <w:r>
        <w:rPr>
          <w:rFonts w:ascii="Arial Narrow" w:hAnsi="Arial Narrow" w:cs="Arial"/>
          <w:bCs/>
          <w:color w:val="000000" w:themeColor="text1"/>
          <w:sz w:val="22"/>
          <w:szCs w:val="22"/>
          <w14:textFill>
            <w14:solidFill>
              <w14:schemeClr w14:val="tx1"/>
            </w14:solidFill>
          </w14:textFill>
        </w:rPr>
        <w:t>Source: KIMEP Catalog, AY 202</w:t>
      </w:r>
      <w:r>
        <w:rPr>
          <w:rFonts w:hint="default" w:ascii="Arial Narrow" w:hAnsi="Arial Narrow" w:cs="Arial"/>
          <w:bCs/>
          <w:color w:val="000000" w:themeColor="text1"/>
          <w:sz w:val="22"/>
          <w:szCs w:val="22"/>
          <w:lang w:val="en-US"/>
          <w14:textFill>
            <w14:solidFill>
              <w14:schemeClr w14:val="tx1"/>
            </w14:solidFill>
          </w14:textFill>
        </w:rPr>
        <w:t>5</w:t>
      </w:r>
      <w:r>
        <w:rPr>
          <w:rFonts w:ascii="Arial Narrow" w:hAnsi="Arial Narrow" w:cs="Arial"/>
          <w:bCs/>
          <w:color w:val="000000" w:themeColor="text1"/>
          <w:sz w:val="22"/>
          <w:szCs w:val="22"/>
          <w14:textFill>
            <w14:solidFill>
              <w14:schemeClr w14:val="tx1"/>
            </w14:solidFill>
          </w14:textFill>
        </w:rPr>
        <w:t>-202</w:t>
      </w:r>
      <w:r>
        <w:rPr>
          <w:rFonts w:hint="default" w:ascii="Arial Narrow" w:hAnsi="Arial Narrow" w:cs="Arial"/>
          <w:bCs/>
          <w:color w:val="000000" w:themeColor="text1"/>
          <w:sz w:val="22"/>
          <w:szCs w:val="22"/>
          <w:lang w:val="en-US"/>
          <w14:textFill>
            <w14:solidFill>
              <w14:schemeClr w14:val="tx1"/>
            </w14:solidFill>
          </w14:textFill>
        </w:rPr>
        <w:t>6</w:t>
      </w:r>
    </w:p>
    <w:p w14:paraId="1C656FEC">
      <w:pPr>
        <w:tabs>
          <w:tab w:val="left" w:pos="720"/>
        </w:tabs>
        <w:spacing w:after="0" w:line="240" w:lineRule="auto"/>
        <w:jc w:val="both"/>
        <w:rPr>
          <w:rFonts w:ascii="Arial Narrow" w:hAnsi="Arial Narrow" w:cs="Arial"/>
          <w:b/>
          <w:bCs/>
          <w:color w:val="000000" w:themeColor="text1"/>
          <w:sz w:val="22"/>
          <w:szCs w:val="22"/>
          <w14:textFill>
            <w14:solidFill>
              <w14:schemeClr w14:val="tx1"/>
            </w14:solidFill>
          </w14:textFill>
        </w:rPr>
      </w:pPr>
    </w:p>
    <w:p w14:paraId="045F8D4D">
      <w:pPr>
        <w:pStyle w:val="48"/>
        <w:numPr>
          <w:ilvl w:val="0"/>
          <w:numId w:val="1"/>
        </w:numPr>
        <w:spacing w:after="0" w:line="240" w:lineRule="auto"/>
        <w:ind w:right="420"/>
        <w:outlineLvl w:val="1"/>
        <w:rPr>
          <w:rFonts w:ascii="Arial Narrow" w:hAnsi="Arial Narrow" w:eastAsia="Times New Roman" w:cs="Times New Roman"/>
          <w:b/>
          <w:bCs/>
          <w:color w:val="000000" w:themeColor="text1"/>
          <w:sz w:val="22"/>
          <w:szCs w:val="22"/>
          <w14:textFill>
            <w14:solidFill>
              <w14:schemeClr w14:val="tx1"/>
            </w14:solidFill>
          </w14:textFill>
        </w:rPr>
      </w:pPr>
      <w:r>
        <w:rPr>
          <w:rFonts w:ascii="Arial Narrow" w:hAnsi="Arial Narrow" w:eastAsia="Times New Roman" w:cs="Calibri"/>
          <w:b/>
          <w:bCs/>
          <w:color w:val="000000" w:themeColor="text1"/>
          <w:sz w:val="22"/>
          <w:szCs w:val="22"/>
          <w14:textFill>
            <w14:solidFill>
              <w14:schemeClr w14:val="tx1"/>
            </w14:solidFill>
          </w14:textFill>
        </w:rPr>
        <w:t>Course Platforms</w:t>
      </w:r>
    </w:p>
    <w:p w14:paraId="60BC7F5D">
      <w:pPr>
        <w:numPr>
          <w:ilvl w:val="0"/>
          <w:numId w:val="3"/>
        </w:numPr>
        <w:spacing w:after="0" w:line="240" w:lineRule="auto"/>
        <w:textAlignment w:val="baseline"/>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bCs/>
          <w:color w:val="000000" w:themeColor="text1"/>
          <w:sz w:val="22"/>
          <w:szCs w:val="22"/>
          <w14:textFill>
            <w14:solidFill>
              <w14:schemeClr w14:val="tx1"/>
            </w14:solidFill>
          </w14:textFill>
        </w:rPr>
        <w:t>Course Website</w:t>
      </w:r>
      <w:r>
        <w:rPr>
          <w:rFonts w:ascii="Arial Narrow" w:hAnsi="Arial Narrow" w:eastAsia="Times New Roman" w:cs="Calibri"/>
          <w:color w:val="000000" w:themeColor="text1"/>
          <w:sz w:val="22"/>
          <w:szCs w:val="22"/>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"http://www.elms.umd.edu/" </w:instrText>
      </w:r>
      <w:r>
        <w:rPr>
          <w:color w:val="000000" w:themeColor="text1"/>
          <w14:textFill>
            <w14:solidFill>
              <w14:schemeClr w14:val="tx1"/>
            </w14:solidFill>
          </w14:textFill>
        </w:rPr>
        <w:fldChar w:fldCharType="separate"/>
      </w:r>
      <w:r>
        <w:rPr>
          <w:rFonts w:ascii="Arial Narrow" w:hAnsi="Arial Narrow" w:eastAsia="Times New Roman" w:cs="Calibri"/>
          <w:color w:val="000000" w:themeColor="text1"/>
          <w:sz w:val="22"/>
          <w:szCs w:val="22"/>
          <w:u w:val="single"/>
          <w14:textFill>
            <w14:solidFill>
              <w14:schemeClr w14:val="tx1"/>
            </w14:solidFill>
          </w14:textFill>
        </w:rPr>
        <w:t>Moodle</w:t>
      </w:r>
      <w:r>
        <w:rPr>
          <w:rFonts w:ascii="Arial Narrow" w:hAnsi="Arial Narrow" w:eastAsia="Times New Roman" w:cs="Calibri"/>
          <w:color w:val="000000" w:themeColor="text1"/>
          <w:sz w:val="22"/>
          <w:szCs w:val="22"/>
          <w:u w:val="single"/>
          <w14:textFill>
            <w14:solidFill>
              <w14:schemeClr w14:val="tx1"/>
            </w14:solidFill>
          </w14:textFill>
        </w:rPr>
        <w:fldChar w:fldCharType="end"/>
      </w:r>
    </w:p>
    <w:p w14:paraId="4776AD87">
      <w:pPr>
        <w:numPr>
          <w:ilvl w:val="0"/>
          <w:numId w:val="3"/>
        </w:numPr>
        <w:spacing w:after="0" w:line="240" w:lineRule="auto"/>
        <w:textAlignment w:val="baseline"/>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color w:val="000000" w:themeColor="text1"/>
          <w:sz w:val="22"/>
          <w:szCs w:val="22"/>
          <w14:textFill>
            <w14:solidFill>
              <w14:schemeClr w14:val="tx1"/>
            </w14:solidFill>
          </w14:textFill>
        </w:rPr>
        <w:t>L-drive: Information about the course can also be found in L-drive under the instructor’s name.</w:t>
      </w:r>
    </w:p>
    <w:p w14:paraId="66AFE12D">
      <w:pPr>
        <w:spacing w:after="0" w:line="240" w:lineRule="auto"/>
        <w:textAlignment w:val="baseline"/>
        <w:rPr>
          <w:rFonts w:ascii="Arial Narrow" w:hAnsi="Arial Narrow" w:eastAsia="Times New Roman" w:cs="Calibri"/>
          <w:color w:val="000000" w:themeColor="text1"/>
          <w:sz w:val="22"/>
          <w:szCs w:val="22"/>
          <w14:textFill>
            <w14:solidFill>
              <w14:schemeClr w14:val="tx1"/>
            </w14:solidFill>
          </w14:textFill>
        </w:rPr>
      </w:pPr>
    </w:p>
    <w:p w14:paraId="2EEBF022">
      <w:pPr>
        <w:pStyle w:val="48"/>
        <w:numPr>
          <w:ilvl w:val="0"/>
          <w:numId w:val="1"/>
        </w:numPr>
        <w:spacing w:after="0"/>
        <w:rPr>
          <w:rFonts w:ascii="Arial Narrow" w:hAnsi="Arial Narrow" w:cs="Arial"/>
          <w:b/>
          <w:bCs/>
          <w:color w:val="000000" w:themeColor="text1"/>
          <w:sz w:val="22"/>
          <w:szCs w:val="22"/>
          <w14:textFill>
            <w14:solidFill>
              <w14:schemeClr w14:val="tx1"/>
            </w14:solidFill>
          </w14:textFill>
        </w:rPr>
      </w:pPr>
      <w:r>
        <w:rPr>
          <w:rFonts w:ascii="Arial Narrow" w:hAnsi="Arial Narrow" w:cs="Arial"/>
          <w:b/>
          <w:bCs/>
          <w:color w:val="000000" w:themeColor="text1"/>
          <w:sz w:val="22"/>
          <w:szCs w:val="22"/>
          <w14:textFill>
            <w14:solidFill>
              <w14:schemeClr w14:val="tx1"/>
            </w14:solidFill>
          </w14:textFill>
        </w:rPr>
        <w:t>Main Literature</w:t>
      </w:r>
    </w:p>
    <w:p w14:paraId="6A792AEA">
      <w:pPr>
        <w:pStyle w:val="4"/>
        <w:rPr>
          <w:rFonts w:ascii="Arial Narrow" w:hAnsi="Arial Narrow" w:cs="Arial"/>
          <w:b/>
          <w:color w:val="000000" w:themeColor="text1"/>
          <w:sz w:val="22"/>
          <w:szCs w:val="22"/>
          <w14:textFill>
            <w14:solidFill>
              <w14:schemeClr w14:val="tx1"/>
            </w14:solidFill>
          </w14:textFill>
        </w:rPr>
      </w:pPr>
      <w:r>
        <w:rPr>
          <w:rFonts w:ascii="Arial Narrow" w:hAnsi="Arial Narrow" w:cs="Arial"/>
          <w:b/>
          <w:color w:val="000000" w:themeColor="text1"/>
          <w:sz w:val="22"/>
          <w:szCs w:val="22"/>
          <w14:textFill>
            <w14:solidFill>
              <w14:schemeClr w14:val="tx1"/>
            </w14:solidFill>
          </w14:textFill>
        </w:rPr>
        <w:t xml:space="preserve">Required: </w:t>
      </w:r>
    </w:p>
    <w:p w14:paraId="7B5A360B">
      <w:pPr>
        <w:pStyle w:val="4"/>
        <w:numPr>
          <w:ilvl w:val="0"/>
          <w:numId w:val="4"/>
        </w:numPr>
        <w:rPr>
          <w:rFonts w:ascii="Arial Narrow" w:hAnsi="Arial Narrow" w:cs="Arial"/>
          <w:bCs/>
          <w:color w:val="000000" w:themeColor="text1"/>
          <w:sz w:val="22"/>
          <w:szCs w:val="22"/>
          <w14:textFill>
            <w14:solidFill>
              <w14:schemeClr w14:val="tx1"/>
            </w14:solidFill>
          </w14:textFill>
        </w:rPr>
      </w:pPr>
      <w:r>
        <w:rPr>
          <w:rFonts w:ascii="Arial Narrow" w:hAnsi="Arial Narrow" w:cs="Arial"/>
          <w:bCs/>
          <w:color w:val="000000" w:themeColor="text1"/>
          <w:sz w:val="22"/>
          <w:szCs w:val="22"/>
          <w14:textFill>
            <w14:solidFill>
              <w14:schemeClr w14:val="tx1"/>
            </w14:solidFill>
          </w14:textFill>
        </w:rPr>
        <w:t>Stiglitz, J. and Rosengard, J. 2015, Economics of the Public Sector, 4th Edition, W. W. Norton &amp; Company, New York, NY.</w:t>
      </w:r>
    </w:p>
    <w:p w14:paraId="736849B2">
      <w:pPr>
        <w:pStyle w:val="4"/>
        <w:numPr>
          <w:ilvl w:val="0"/>
          <w:numId w:val="4"/>
        </w:numPr>
        <w:rPr>
          <w:rFonts w:ascii="Arial Narrow" w:hAnsi="Arial Narrow" w:cs="Arial"/>
          <w:bCs/>
          <w:color w:val="000000" w:themeColor="text1"/>
          <w:sz w:val="22"/>
          <w:szCs w:val="22"/>
          <w14:textFill>
            <w14:solidFill>
              <w14:schemeClr w14:val="tx1"/>
            </w14:solidFill>
          </w14:textFill>
        </w:rPr>
      </w:pPr>
      <w:r>
        <w:rPr>
          <w:rFonts w:ascii="Arial Narrow" w:hAnsi="Arial Narrow" w:cs="Arial"/>
          <w:bCs/>
          <w:color w:val="000000" w:themeColor="text1"/>
          <w:sz w:val="22"/>
          <w:szCs w:val="22"/>
          <w14:textFill>
            <w14:solidFill>
              <w14:schemeClr w14:val="tx1"/>
            </w14:solidFill>
          </w14:textFill>
        </w:rPr>
        <w:t>Mikesell, J., Fiscal Administration, 2014,  9</w:t>
      </w:r>
      <w:r>
        <w:rPr>
          <w:rFonts w:ascii="Arial Narrow" w:hAnsi="Arial Narrow" w:cs="Arial"/>
          <w:bCs/>
          <w:color w:val="000000" w:themeColor="text1"/>
          <w:sz w:val="22"/>
          <w:szCs w:val="22"/>
          <w:vertAlign w:val="superscript"/>
          <w14:textFill>
            <w14:solidFill>
              <w14:schemeClr w14:val="tx1"/>
            </w14:solidFill>
          </w14:textFill>
        </w:rPr>
        <w:t>th</w:t>
      </w:r>
      <w:r>
        <w:rPr>
          <w:rFonts w:ascii="Arial Narrow" w:hAnsi="Arial Narrow" w:cs="Arial"/>
          <w:bCs/>
          <w:color w:val="000000" w:themeColor="text1"/>
          <w:sz w:val="22"/>
          <w:szCs w:val="22"/>
          <w14:textFill>
            <w14:solidFill>
              <w14:schemeClr w14:val="tx1"/>
            </w14:solidFill>
          </w14:textFill>
        </w:rPr>
        <w:t xml:space="preserve"> Ed.,  Wadsworth Cengage Learning</w:t>
      </w:r>
    </w:p>
    <w:p w14:paraId="10DD5E07">
      <w:pPr>
        <w:spacing w:after="0"/>
        <w:rPr>
          <w:b/>
          <w:color w:val="000000" w:themeColor="text1"/>
          <w14:textFill>
            <w14:solidFill>
              <w14:schemeClr w14:val="tx1"/>
            </w14:solidFill>
          </w14:textFill>
        </w:rPr>
      </w:pPr>
    </w:p>
    <w:p w14:paraId="37528294">
      <w:pPr>
        <w:spacing w:after="0"/>
        <w:rPr>
          <w:rFonts w:ascii="Arial Narrow" w:hAnsi="Arial Narrow"/>
          <w:b/>
          <w:color w:val="000000" w:themeColor="text1"/>
          <w:sz w:val="22"/>
          <w:szCs w:val="22"/>
          <w14:textFill>
            <w14:solidFill>
              <w14:schemeClr w14:val="tx1"/>
            </w14:solidFill>
          </w14:textFill>
        </w:rPr>
      </w:pPr>
      <w:r>
        <w:rPr>
          <w:rFonts w:ascii="Arial Narrow" w:hAnsi="Arial Narrow"/>
          <w:b/>
          <w:color w:val="000000" w:themeColor="text1"/>
          <w:sz w:val="22"/>
          <w:szCs w:val="22"/>
          <w14:textFill>
            <w14:solidFill>
              <w14:schemeClr w14:val="tx1"/>
            </w14:solidFill>
          </w14:textFill>
        </w:rPr>
        <w:t>Additional Literature</w:t>
      </w:r>
    </w:p>
    <w:p w14:paraId="280C8175">
      <w:pPr>
        <w:numPr>
          <w:ilvl w:val="0"/>
          <w:numId w:val="4"/>
        </w:numPr>
        <w:spacing w:after="0" w:line="240" w:lineRule="auto"/>
        <w:jc w:val="both"/>
        <w:rPr>
          <w:rFonts w:ascii="Arial Narrow" w:hAnsi="Arial Narrow"/>
          <w:color w:val="000000" w:themeColor="text1"/>
          <w:sz w:val="22"/>
          <w:szCs w:val="22"/>
          <w14:textFill>
            <w14:solidFill>
              <w14:schemeClr w14:val="tx1"/>
            </w14:solidFill>
          </w14:textFill>
        </w:rPr>
      </w:pPr>
      <w:r>
        <w:rPr>
          <w:rFonts w:ascii="Arial Narrow" w:hAnsi="Arial Narrow"/>
          <w:color w:val="000000" w:themeColor="text1"/>
          <w:sz w:val="22"/>
          <w:szCs w:val="22"/>
          <w14:textFill>
            <w14:solidFill>
              <w14:schemeClr w14:val="tx1"/>
            </w14:solidFill>
          </w14:textFill>
        </w:rPr>
        <w:t xml:space="preserve">Gruber, J., </w:t>
      </w:r>
      <w:r>
        <w:rPr>
          <w:rFonts w:ascii="Arial Narrow" w:hAnsi="Arial Narrow"/>
          <w:i/>
          <w:color w:val="000000" w:themeColor="text1"/>
          <w:sz w:val="22"/>
          <w:szCs w:val="22"/>
          <w14:textFill>
            <w14:solidFill>
              <w14:schemeClr w14:val="tx1"/>
            </w14:solidFill>
          </w14:textFill>
        </w:rPr>
        <w:t xml:space="preserve">Economic Perspectives of Government, </w:t>
      </w:r>
      <w:r>
        <w:rPr>
          <w:rFonts w:ascii="Arial Narrow" w:hAnsi="Arial Narrow"/>
          <w:color w:val="000000" w:themeColor="text1"/>
          <w:sz w:val="22"/>
          <w:szCs w:val="22"/>
          <w14:textFill>
            <w14:solidFill>
              <w14:schemeClr w14:val="tx1"/>
            </w14:solidFill>
          </w14:textFill>
        </w:rPr>
        <w:t>2019, Worth Publishers.</w:t>
      </w:r>
    </w:p>
    <w:p w14:paraId="46C07D94">
      <w:pPr>
        <w:numPr>
          <w:ilvl w:val="0"/>
          <w:numId w:val="4"/>
        </w:numPr>
        <w:spacing w:after="0" w:line="240" w:lineRule="auto"/>
        <w:rPr>
          <w:rFonts w:ascii="Arial Narrow" w:hAnsi="Arial Narrow"/>
          <w:color w:val="000000" w:themeColor="text1"/>
          <w:sz w:val="22"/>
          <w:szCs w:val="22"/>
          <w14:textFill>
            <w14:solidFill>
              <w14:schemeClr w14:val="tx1"/>
            </w14:solidFill>
          </w14:textFill>
        </w:rPr>
      </w:pPr>
      <w:r>
        <w:rPr>
          <w:rFonts w:ascii="Arial Narrow" w:hAnsi="Arial Narrow"/>
          <w:color w:val="000000" w:themeColor="text1"/>
          <w:sz w:val="22"/>
          <w:szCs w:val="22"/>
          <w14:textFill>
            <w14:solidFill>
              <w14:schemeClr w14:val="tx1"/>
            </w14:solidFill>
          </w14:textFill>
        </w:rPr>
        <w:t>Ihori, T. 2017, Principles of Finance, Springer, New York.</w:t>
      </w:r>
    </w:p>
    <w:p w14:paraId="4AFB52D1">
      <w:pPr>
        <w:pStyle w:val="4"/>
        <w:numPr>
          <w:ilvl w:val="0"/>
          <w:numId w:val="4"/>
        </w:numPr>
        <w:rPr>
          <w:rFonts w:ascii="Arial Narrow" w:hAnsi="Arial Narrow" w:cs="Arial"/>
          <w:b/>
          <w:color w:val="000000" w:themeColor="text1"/>
          <w:sz w:val="22"/>
          <w:szCs w:val="22"/>
          <w14:textFill>
            <w14:solidFill>
              <w14:schemeClr w14:val="tx1"/>
            </w14:solidFill>
          </w14:textFill>
        </w:rPr>
      </w:pPr>
      <w:r>
        <w:rPr>
          <w:rFonts w:ascii="Arial Narrow" w:hAnsi="Arial Narrow"/>
          <w:b/>
          <w:color w:val="000000" w:themeColor="text1"/>
          <w:sz w:val="22"/>
          <w:szCs w:val="22"/>
          <w14:textFill>
            <w14:solidFill>
              <w14:schemeClr w14:val="tx1"/>
            </w14:solidFill>
          </w14:textFill>
        </w:rPr>
        <w:t>Steven Finkler, Financial management for Public, Health and Not-for-Profit Organizations, 3</w:t>
      </w:r>
      <w:r>
        <w:rPr>
          <w:rFonts w:ascii="Arial Narrow" w:hAnsi="Arial Narrow"/>
          <w:b/>
          <w:color w:val="000000" w:themeColor="text1"/>
          <w:sz w:val="22"/>
          <w:szCs w:val="22"/>
          <w:vertAlign w:val="superscript"/>
          <w14:textFill>
            <w14:solidFill>
              <w14:schemeClr w14:val="tx1"/>
            </w14:solidFill>
          </w14:textFill>
        </w:rPr>
        <w:t>rd</w:t>
      </w:r>
      <w:r>
        <w:rPr>
          <w:rFonts w:ascii="Arial Narrow" w:hAnsi="Arial Narrow"/>
          <w:b/>
          <w:color w:val="000000" w:themeColor="text1"/>
          <w:sz w:val="22"/>
          <w:szCs w:val="22"/>
          <w14:textFill>
            <w14:solidFill>
              <w14:schemeClr w14:val="tx1"/>
            </w14:solidFill>
          </w14:textFill>
        </w:rPr>
        <w:t xml:space="preserve"> Ed., 2009, Pearson.</w:t>
      </w:r>
    </w:p>
    <w:p w14:paraId="26A4FD8F">
      <w:pPr>
        <w:numPr>
          <w:ilvl w:val="0"/>
          <w:numId w:val="4"/>
        </w:numPr>
        <w:spacing w:after="0" w:line="240" w:lineRule="auto"/>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Relevant Journals and Periodicals</w:t>
      </w:r>
    </w:p>
    <w:p w14:paraId="22A0246D">
      <w:pPr>
        <w:rPr>
          <w:rFonts w:ascii="Arial Narrow" w:hAnsi="Arial Narrow" w:cs="Arial"/>
          <w:color w:val="000000" w:themeColor="text1"/>
          <w:sz w:val="22"/>
          <w:szCs w:val="22"/>
          <w14:textFill>
            <w14:solidFill>
              <w14:schemeClr w14:val="tx1"/>
            </w14:solidFill>
          </w14:textFill>
        </w:rPr>
      </w:pPr>
    </w:p>
    <w:p w14:paraId="3C8CB668">
      <w:pPr>
        <w:rPr>
          <w:rFonts w:ascii="Arial Narrow" w:hAnsi="Arial Narrow" w:cs="Arial"/>
          <w:color w:val="000000" w:themeColor="text1"/>
          <w:sz w:val="22"/>
          <w:szCs w:val="22"/>
          <w14:textFill>
            <w14:solidFill>
              <w14:schemeClr w14:val="tx1"/>
            </w14:solidFill>
          </w14:textFill>
        </w:rPr>
      </w:pPr>
    </w:p>
    <w:p w14:paraId="41D6974B">
      <w:pPr>
        <w:rPr>
          <w:rFonts w:ascii="Arial Narrow" w:hAnsi="Arial Narrow" w:cs="Arial"/>
          <w:color w:val="000000" w:themeColor="text1"/>
          <w:sz w:val="22"/>
          <w:szCs w:val="22"/>
          <w14:textFill>
            <w14:solidFill>
              <w14:schemeClr w14:val="tx1"/>
            </w14:solidFill>
          </w14:textFill>
        </w:rPr>
      </w:pPr>
    </w:p>
    <w:p w14:paraId="63C635B1">
      <w:pPr>
        <w:rPr>
          <w:rFonts w:ascii="Arial Narrow" w:hAnsi="Arial Narrow" w:cs="Arial"/>
          <w:color w:val="000000" w:themeColor="text1"/>
          <w:sz w:val="22"/>
          <w:szCs w:val="22"/>
          <w14:textFill>
            <w14:solidFill>
              <w14:schemeClr w14:val="tx1"/>
            </w14:solidFill>
          </w14:textFill>
        </w:rPr>
      </w:pPr>
    </w:p>
    <w:p w14:paraId="2C76B82D">
      <w:pPr>
        <w:rPr>
          <w:rFonts w:ascii="Arial Narrow" w:hAnsi="Arial Narrow" w:cs="Arial"/>
          <w:color w:val="000000" w:themeColor="text1"/>
          <w:sz w:val="22"/>
          <w:szCs w:val="22"/>
          <w14:textFill>
            <w14:solidFill>
              <w14:schemeClr w14:val="tx1"/>
            </w14:solidFill>
          </w14:textFill>
        </w:rPr>
      </w:pPr>
    </w:p>
    <w:p w14:paraId="74A23C64">
      <w:pPr>
        <w:rPr>
          <w:rFonts w:ascii="Arial Narrow" w:hAnsi="Arial Narrow" w:cs="Arial"/>
          <w:b/>
          <w:color w:val="000000" w:themeColor="text1"/>
          <w:sz w:val="24"/>
          <w:szCs w:val="24"/>
          <w14:textFill>
            <w14:solidFill>
              <w14:schemeClr w14:val="tx1"/>
            </w14:solidFill>
          </w14:textFill>
        </w:rPr>
      </w:pPr>
      <w:r>
        <w:rPr>
          <w:rFonts w:ascii="Arial Narrow" w:hAnsi="Arial Narrow" w:cs="Arial"/>
          <w:b/>
          <w:color w:val="000000" w:themeColor="text1"/>
          <w:sz w:val="24"/>
          <w:szCs w:val="24"/>
          <w14:textFill>
            <w14:solidFill>
              <w14:schemeClr w14:val="tx1"/>
            </w14:solidFill>
          </w14:textFill>
        </w:rPr>
        <w:t>8. Academic Support Information</w:t>
      </w:r>
    </w:p>
    <w:p w14:paraId="0EF3BD85">
      <w:pPr>
        <w:numPr>
          <w:ilvl w:val="0"/>
          <w:numId w:val="5"/>
        </w:numPr>
        <w:spacing w:after="0" w:line="240" w:lineRule="auto"/>
        <w:rPr>
          <w:rFonts w:ascii="Arial Narrow" w:hAnsi="Arial Narrow" w:cs="Arial"/>
          <w:color w:val="000000" w:themeColor="text1"/>
          <w:sz w:val="24"/>
          <w:szCs w:val="24"/>
          <w14:textFill>
            <w14:solidFill>
              <w14:schemeClr w14:val="tx1"/>
            </w14:solidFill>
          </w14:textFill>
        </w:rPr>
      </w:pPr>
      <w:r>
        <w:rPr>
          <w:rFonts w:ascii="Arial Narrow" w:hAnsi="Arial Narrow" w:cs="Arial"/>
          <w:color w:val="000000" w:themeColor="text1"/>
          <w:sz w:val="24"/>
          <w:szCs w:val="24"/>
          <w14:textFill>
            <w14:solidFill>
              <w14:schemeClr w14:val="tx1"/>
            </w14:solidFill>
          </w14:textFill>
        </w:rPr>
        <w:t xml:space="preserve">Student Learning Support: Aiyana Umbetbayeva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"mailto:a.umbetbayeva@kimep.kz" </w:instrText>
      </w:r>
      <w:r>
        <w:rPr>
          <w:color w:val="000000" w:themeColor="text1"/>
          <w14:textFill>
            <w14:solidFill>
              <w14:schemeClr w14:val="tx1"/>
            </w14:solidFill>
          </w14:textFill>
        </w:rPr>
        <w:fldChar w:fldCharType="separate"/>
      </w:r>
      <w:r>
        <w:rPr>
          <w:rStyle w:val="19"/>
          <w:rFonts w:ascii="Arial Narrow" w:hAnsi="Arial Narrow" w:cs="Arial"/>
          <w:color w:val="000000" w:themeColor="text1"/>
          <w:sz w:val="24"/>
          <w:szCs w:val="24"/>
          <w14:textFill>
            <w14:solidFill>
              <w14:schemeClr w14:val="tx1"/>
            </w14:solidFill>
          </w14:textFill>
        </w:rPr>
        <w:t>a.umbetbayeva@kimep.kz</w:t>
      </w:r>
      <w:r>
        <w:rPr>
          <w:rStyle w:val="19"/>
          <w:rFonts w:ascii="Arial Narrow" w:hAnsi="Arial Narrow" w:cs="Arial"/>
          <w:color w:val="000000" w:themeColor="text1"/>
          <w:sz w:val="24"/>
          <w:szCs w:val="24"/>
          <w14:textFill>
            <w14:solidFill>
              <w14:schemeClr w14:val="tx1"/>
            </w14:solidFill>
          </w14:textFill>
        </w:rPr>
        <w:fldChar w:fldCharType="end"/>
      </w:r>
      <w:r>
        <w:rPr>
          <w:rFonts w:ascii="Arial Narrow" w:hAnsi="Arial Narrow" w:cs="Arial"/>
          <w:color w:val="000000" w:themeColor="text1"/>
          <w:sz w:val="24"/>
          <w:szCs w:val="24"/>
          <w14:textFill>
            <w14:solidFill>
              <w14:schemeClr w14:val="tx1"/>
            </w14:solidFill>
          </w14:textFill>
        </w:rPr>
        <w:t xml:space="preserve">  (Ph. +77727 2704268 ext. 3176)</w:t>
      </w:r>
    </w:p>
    <w:p w14:paraId="37BA4E17">
      <w:pPr>
        <w:numPr>
          <w:ilvl w:val="0"/>
          <w:numId w:val="5"/>
        </w:numPr>
        <w:spacing w:after="0" w:line="240" w:lineRule="auto"/>
        <w:rPr>
          <w:rFonts w:ascii="Arial Narrow" w:hAnsi="Arial Narrow" w:cs="Arial"/>
          <w:color w:val="000000" w:themeColor="text1"/>
          <w:sz w:val="24"/>
          <w:szCs w:val="24"/>
          <w14:textFill>
            <w14:solidFill>
              <w14:schemeClr w14:val="tx1"/>
            </w14:solidFill>
          </w14:textFill>
        </w:rPr>
      </w:pPr>
      <w:r>
        <w:rPr>
          <w:rFonts w:ascii="Arial Narrow" w:hAnsi="Arial Narrow" w:cs="Arial"/>
          <w:color w:val="000000" w:themeColor="text1"/>
          <w:sz w:val="24"/>
          <w:szCs w:val="24"/>
          <w14:textFill>
            <w14:solidFill>
              <w14:schemeClr w14:val="tx1"/>
            </w14:solidFill>
          </w14:textFill>
        </w:rPr>
        <w:t xml:space="preserve">Library: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"mailto:zaitseva@kimep.kz" </w:instrText>
      </w:r>
      <w:r>
        <w:rPr>
          <w:color w:val="000000" w:themeColor="text1"/>
          <w14:textFill>
            <w14:solidFill>
              <w14:schemeClr w14:val="tx1"/>
            </w14:solidFill>
          </w14:textFill>
        </w:rPr>
        <w:fldChar w:fldCharType="separate"/>
      </w:r>
      <w:r>
        <w:rPr>
          <w:rStyle w:val="19"/>
          <w:rFonts w:ascii="Arial" w:hAnsi="Arial" w:eastAsia="Code2000" w:cs="Arial"/>
          <w:color w:val="000000" w:themeColor="text1"/>
          <w14:textFill>
            <w14:solidFill>
              <w14:schemeClr w14:val="tx1"/>
            </w14:solidFill>
          </w14:textFill>
        </w:rPr>
        <w:t>zaitseva@kimep.kz</w:t>
      </w:r>
      <w:r>
        <w:rPr>
          <w:rStyle w:val="19"/>
          <w:rFonts w:ascii="Arial" w:hAnsi="Arial" w:eastAsia="Code2000" w:cs="Arial"/>
          <w:color w:val="000000" w:themeColor="text1"/>
          <w14:textFill>
            <w14:solidFill>
              <w14:schemeClr w14:val="tx1"/>
            </w14:solidFill>
          </w14:textFill>
        </w:rPr>
        <w:fldChar w:fldCharType="end"/>
      </w:r>
      <w:r>
        <w:rPr>
          <w:rFonts w:ascii="Arial" w:hAnsi="Arial" w:eastAsia="Code2000" w:cs="Arial"/>
          <w:color w:val="000000" w:themeColor="text1"/>
          <w14:textFill>
            <w14:solidFill>
              <w14:schemeClr w14:val="tx1"/>
            </w14:solidFill>
          </w14:textFill>
        </w:rPr>
        <w:t>;</w:t>
      </w:r>
      <w:r>
        <w:rPr>
          <w:rFonts w:ascii="Arial" w:hAnsi="Arial" w:eastAsia="Code2000" w:cs="Arial"/>
          <w:b/>
          <w:color w:val="000000" w:themeColor="text1"/>
          <w14:textFill>
            <w14:solidFill>
              <w14:schemeClr w14:val="tx1"/>
            </w14:solidFill>
          </w14:textFill>
        </w:rPr>
        <w:t xml:space="preserve"> Tel: 237 4754.</w:t>
      </w:r>
    </w:p>
    <w:p w14:paraId="5D654F0F">
      <w:pPr>
        <w:ind w:firstLine="720"/>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4"/>
          <w:szCs w:val="24"/>
          <w14:textFill>
            <w14:solidFill>
              <w14:schemeClr w14:val="tx1"/>
            </w14:solidFill>
          </w14:textFill>
        </w:rPr>
        <w:t xml:space="preserve">IT: </w:t>
      </w:r>
      <w:r>
        <w:rPr>
          <w:rFonts w:ascii="Arial" w:hAnsi="Arial" w:eastAsia="Code2000" w:cs="Arial"/>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"mailto:tso@kimep.kz" </w:instrText>
      </w:r>
      <w:r>
        <w:rPr>
          <w:color w:val="000000" w:themeColor="text1"/>
          <w14:textFill>
            <w14:solidFill>
              <w14:schemeClr w14:val="tx1"/>
            </w14:solidFill>
          </w14:textFill>
        </w:rPr>
        <w:fldChar w:fldCharType="separate"/>
      </w:r>
      <w:r>
        <w:rPr>
          <w:rStyle w:val="19"/>
          <w:rFonts w:ascii="Arial" w:hAnsi="Arial" w:eastAsia="Code2000" w:cs="Arial"/>
          <w:color w:val="000000" w:themeColor="text1"/>
          <w14:textFill>
            <w14:solidFill>
              <w14:schemeClr w14:val="tx1"/>
            </w14:solidFill>
          </w14:textFill>
        </w:rPr>
        <w:t>tso@kimep.kz</w:t>
      </w:r>
      <w:r>
        <w:rPr>
          <w:rStyle w:val="19"/>
          <w:rFonts w:ascii="Arial" w:hAnsi="Arial" w:eastAsia="Code2000" w:cs="Arial"/>
          <w:color w:val="000000" w:themeColor="text1"/>
          <w14:textFill>
            <w14:solidFill>
              <w14:schemeClr w14:val="tx1"/>
            </w14:solidFill>
          </w14:textFill>
        </w:rPr>
        <w:fldChar w:fldCharType="end"/>
      </w:r>
      <w:r>
        <w:rPr>
          <w:rFonts w:ascii="Arial" w:hAnsi="Arial" w:eastAsia="Code2000" w:cs="Arial"/>
          <w:color w:val="000000" w:themeColor="text1"/>
          <w14:textFill>
            <w14:solidFill>
              <w14:schemeClr w14:val="tx1"/>
            </w14:solidFill>
          </w14:textFill>
        </w:rPr>
        <w:t>;</w:t>
      </w:r>
      <w:r>
        <w:rPr>
          <w:rFonts w:ascii="Arial" w:hAnsi="Arial" w:eastAsia="Code2000" w:cs="Arial"/>
          <w:b/>
          <w:color w:val="000000" w:themeColor="text1"/>
          <w14:textFill>
            <w14:solidFill>
              <w14:schemeClr w14:val="tx1"/>
            </w14:solidFill>
          </w14:textFill>
        </w:rPr>
        <w:t>Tel: 2704407</w:t>
      </w:r>
    </w:p>
    <w:p w14:paraId="22DC5BDC">
      <w:pPr>
        <w:spacing w:after="0" w:line="240" w:lineRule="auto"/>
        <w:ind w:right="420"/>
        <w:outlineLvl w:val="0"/>
        <w:rPr>
          <w:rFonts w:ascii="Arial Narrow" w:hAnsi="Arial Narrow" w:eastAsia="Times New Roman" w:cs="Times New Roman"/>
          <w:b/>
          <w:bCs/>
          <w:color w:val="000000" w:themeColor="text1"/>
          <w:kern w:val="36"/>
          <w:sz w:val="22"/>
          <w:szCs w:val="22"/>
          <w14:textFill>
            <w14:solidFill>
              <w14:schemeClr w14:val="tx1"/>
            </w14:solidFill>
          </w14:textFill>
        </w:rPr>
      </w:pPr>
      <w:r>
        <w:rPr>
          <w:rFonts w:ascii="Arial Narrow" w:hAnsi="Arial Narrow" w:eastAsia="Times New Roman" w:cs="Calibri"/>
          <w:b/>
          <w:bCs/>
          <w:color w:val="000000" w:themeColor="text1"/>
          <w:kern w:val="36"/>
          <w:sz w:val="22"/>
          <w:szCs w:val="22"/>
          <w14:textFill>
            <w14:solidFill>
              <w14:schemeClr w14:val="tx1"/>
            </w14:solidFill>
          </w14:textFill>
        </w:rPr>
        <w:t xml:space="preserve">9. Policies and Resources </w:t>
      </w:r>
    </w:p>
    <w:p w14:paraId="7ABCC3AF">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r>
        <w:rPr>
          <w:rFonts w:ascii="Arial Narrow" w:hAnsi="Arial Narrow" w:eastAsia="Times New Roman" w:cs="Calibri"/>
          <w:color w:val="000000" w:themeColor="text1"/>
          <w:sz w:val="22"/>
          <w:szCs w:val="22"/>
          <w14:textFill>
            <w14:solidFill>
              <w14:schemeClr w14:val="tx1"/>
            </w14:solidFill>
          </w14:textFill>
        </w:rPr>
        <w:t>It is our shared responsibility to know and abide by the KIMEP University policies that relate to all courses, which include topics like:</w:t>
      </w:r>
    </w:p>
    <w:p w14:paraId="36AC1CB1">
      <w:pPr>
        <w:numPr>
          <w:ilvl w:val="0"/>
          <w:numId w:val="6"/>
        </w:numPr>
        <w:spacing w:after="0" w:line="240" w:lineRule="auto"/>
        <w:textAlignment w:val="baseline"/>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color w:val="000000" w:themeColor="text1"/>
          <w:sz w:val="22"/>
          <w:szCs w:val="22"/>
          <w14:textFill>
            <w14:solidFill>
              <w14:schemeClr w14:val="tx1"/>
            </w14:solidFill>
          </w14:textFill>
        </w:rPr>
        <w:t>Academic integrity</w:t>
      </w:r>
    </w:p>
    <w:p w14:paraId="03D57F8E">
      <w:pPr>
        <w:numPr>
          <w:ilvl w:val="0"/>
          <w:numId w:val="6"/>
        </w:numPr>
        <w:spacing w:after="0" w:line="240" w:lineRule="auto"/>
        <w:textAlignment w:val="baseline"/>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color w:val="000000" w:themeColor="text1"/>
          <w:sz w:val="22"/>
          <w:szCs w:val="22"/>
          <w14:textFill>
            <w14:solidFill>
              <w14:schemeClr w14:val="tx1"/>
            </w14:solidFill>
          </w14:textFill>
        </w:rPr>
        <w:t>Student and instructor conduct</w:t>
      </w:r>
    </w:p>
    <w:p w14:paraId="308B287A">
      <w:pPr>
        <w:numPr>
          <w:ilvl w:val="0"/>
          <w:numId w:val="6"/>
        </w:numPr>
        <w:spacing w:after="0" w:line="240" w:lineRule="auto"/>
        <w:textAlignment w:val="baseline"/>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color w:val="000000" w:themeColor="text1"/>
          <w:sz w:val="22"/>
          <w:szCs w:val="22"/>
          <w14:textFill>
            <w14:solidFill>
              <w14:schemeClr w14:val="tx1"/>
            </w14:solidFill>
          </w14:textFill>
        </w:rPr>
        <w:t>Accessibility and accommodations</w:t>
      </w:r>
    </w:p>
    <w:p w14:paraId="659CAB82">
      <w:pPr>
        <w:numPr>
          <w:ilvl w:val="0"/>
          <w:numId w:val="6"/>
        </w:numPr>
        <w:spacing w:after="0" w:line="240" w:lineRule="auto"/>
        <w:textAlignment w:val="baseline"/>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color w:val="000000" w:themeColor="text1"/>
          <w:sz w:val="22"/>
          <w:szCs w:val="22"/>
          <w14:textFill>
            <w14:solidFill>
              <w14:schemeClr w14:val="tx1"/>
            </w14:solidFill>
          </w14:textFill>
        </w:rPr>
        <w:t>Attendance and excused absences</w:t>
      </w:r>
    </w:p>
    <w:p w14:paraId="466C763D">
      <w:pPr>
        <w:numPr>
          <w:ilvl w:val="0"/>
          <w:numId w:val="6"/>
        </w:numPr>
        <w:spacing w:after="0" w:line="240" w:lineRule="auto"/>
        <w:textAlignment w:val="baseline"/>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color w:val="000000" w:themeColor="text1"/>
          <w:sz w:val="22"/>
          <w:szCs w:val="22"/>
          <w14:textFill>
            <w14:solidFill>
              <w14:schemeClr w14:val="tx1"/>
            </w14:solidFill>
          </w14:textFill>
        </w:rPr>
        <w:t>Grades and appeals</w:t>
      </w:r>
    </w:p>
    <w:p w14:paraId="4A00DE19">
      <w:pPr>
        <w:numPr>
          <w:ilvl w:val="0"/>
          <w:numId w:val="6"/>
        </w:numPr>
        <w:spacing w:after="0" w:line="240" w:lineRule="auto"/>
        <w:textAlignment w:val="baseline"/>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color w:val="000000" w:themeColor="text1"/>
          <w:sz w:val="22"/>
          <w:szCs w:val="22"/>
          <w14:textFill>
            <w14:solidFill>
              <w14:schemeClr w14:val="tx1"/>
            </w14:solidFill>
          </w14:textFill>
        </w:rPr>
        <w:t>Copyright and intellectual property</w:t>
      </w:r>
    </w:p>
    <w:p w14:paraId="1E553A0E">
      <w:pPr>
        <w:numPr>
          <w:ilvl w:val="0"/>
          <w:numId w:val="6"/>
        </w:numPr>
        <w:spacing w:after="0" w:line="240" w:lineRule="auto"/>
        <w:textAlignment w:val="baseline"/>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color w:val="000000" w:themeColor="text1"/>
          <w:sz w:val="22"/>
          <w:szCs w:val="22"/>
          <w14:textFill>
            <w14:solidFill>
              <w14:schemeClr w14:val="tx1"/>
            </w14:solidFill>
          </w14:textFill>
        </w:rPr>
        <w:t>The Use of Generative AI Software</w:t>
      </w:r>
    </w:p>
    <w:p w14:paraId="46A0DDD0">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p>
    <w:p w14:paraId="246A4D48">
      <w:pPr>
        <w:spacing w:after="0" w:line="240" w:lineRule="auto"/>
        <w:rPr>
          <w:rFonts w:ascii="Arial Narrow" w:hAnsi="Arial Narrow" w:eastAsia="Times New Roman" w:cs="Times New Roman"/>
          <w:b/>
          <w:color w:val="000000" w:themeColor="text1"/>
          <w:sz w:val="22"/>
          <w:szCs w:val="22"/>
          <w14:textFill>
            <w14:solidFill>
              <w14:schemeClr w14:val="tx1"/>
            </w14:solidFill>
          </w14:textFill>
        </w:rPr>
      </w:pPr>
      <w:r>
        <w:rPr>
          <w:rFonts w:ascii="Arial Narrow" w:hAnsi="Arial Narrow" w:eastAsia="Times New Roman" w:cs="Calibri"/>
          <w:b/>
          <w:bCs/>
          <w:color w:val="000000" w:themeColor="text1"/>
          <w:sz w:val="22"/>
          <w:szCs w:val="22"/>
          <w14:textFill>
            <w14:solidFill>
              <w14:schemeClr w14:val="tx1"/>
            </w14:solidFill>
          </w14:textFill>
        </w:rPr>
        <w:t>10. Course Guidelines</w:t>
      </w:r>
    </w:p>
    <w:p w14:paraId="1D237908">
      <w:pPr>
        <w:pStyle w:val="48"/>
        <w:numPr>
          <w:ilvl w:val="0"/>
          <w:numId w:val="7"/>
        </w:numPr>
        <w:spacing w:after="0" w:line="240" w:lineRule="auto"/>
        <w:ind w:right="420"/>
        <w:outlineLvl w:val="1"/>
        <w:rPr>
          <w:rFonts w:ascii="Arial Narrow" w:hAnsi="Arial Narrow" w:eastAsia="Times New Roman" w:cs="Times New Roman"/>
          <w:b/>
          <w:bCs/>
          <w:i/>
          <w:color w:val="000000" w:themeColor="text1"/>
          <w:sz w:val="22"/>
          <w:szCs w:val="22"/>
          <w14:textFill>
            <w14:solidFill>
              <w14:schemeClr w14:val="tx1"/>
            </w14:solidFill>
          </w14:textFill>
        </w:rPr>
      </w:pPr>
      <w:r>
        <w:rPr>
          <w:rFonts w:ascii="Arial Narrow" w:hAnsi="Arial Narrow" w:eastAsia="Times New Roman" w:cs="Calibri"/>
          <w:b/>
          <w:bCs/>
          <w:i/>
          <w:color w:val="000000" w:themeColor="text1"/>
          <w:sz w:val="22"/>
          <w:szCs w:val="22"/>
          <w14:textFill>
            <w14:solidFill>
              <w14:schemeClr w14:val="tx1"/>
            </w14:solidFill>
          </w14:textFill>
        </w:rPr>
        <w:t>Communication with Instructor:</w:t>
      </w:r>
    </w:p>
    <w:p w14:paraId="74E6F262">
      <w:pPr>
        <w:spacing w:after="0" w:line="240" w:lineRule="auto"/>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b/>
          <w:color w:val="000000" w:themeColor="text1"/>
          <w:sz w:val="22"/>
          <w:szCs w:val="22"/>
          <w14:textFill>
            <w14:solidFill>
              <w14:schemeClr w14:val="tx1"/>
            </w14:solidFill>
          </w14:textFill>
        </w:rPr>
        <w:t>Email:</w:t>
      </w:r>
      <w:r>
        <w:rPr>
          <w:rFonts w:ascii="Arial Narrow" w:hAnsi="Arial Narrow" w:eastAsia="Times New Roman" w:cs="Calibri"/>
          <w:color w:val="000000" w:themeColor="text1"/>
          <w:sz w:val="22"/>
          <w:szCs w:val="22"/>
          <w14:textFill>
            <w14:solidFill>
              <w14:schemeClr w14:val="tx1"/>
            </w14:solidFill>
          </w14:textFill>
        </w:rPr>
        <w:t xml:space="preserve"> If you need to reach out and communicate with me, please email me at famagoh@kimep.kz. We do not use WhatsApp or Telegram for communication. </w:t>
      </w:r>
    </w:p>
    <w:p w14:paraId="5AED8892">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r>
        <w:rPr>
          <w:rFonts w:ascii="Arial Narrow" w:hAnsi="Arial Narrow" w:eastAsia="Times New Roman" w:cs="Calibri"/>
          <w:color w:val="000000" w:themeColor="text1"/>
          <w:sz w:val="22"/>
          <w:szCs w:val="22"/>
          <w14:textFill>
            <w14:solidFill>
              <w14:schemeClr w14:val="tx1"/>
            </w14:solidFill>
          </w14:textFill>
        </w:rPr>
        <w:t>Please DO reach out about personal, academic, and intellectual concerns/questions.</w:t>
      </w:r>
      <w:r>
        <w:rPr>
          <w:rFonts w:ascii="Arial Narrow" w:hAnsi="Arial Narrow" w:eastAsia="Times New Roman" w:cs="Times New Roman"/>
          <w:color w:val="000000" w:themeColor="text1"/>
          <w:sz w:val="22"/>
          <w:szCs w:val="22"/>
          <w14:textFill>
            <w14:solidFill>
              <w14:schemeClr w14:val="tx1"/>
            </w14:solidFill>
          </w14:textFill>
        </w:rPr>
        <w:t xml:space="preserve"> </w:t>
      </w:r>
      <w:r>
        <w:rPr>
          <w:rFonts w:ascii="Arial Narrow" w:hAnsi="Arial Narrow" w:eastAsia="Times New Roman" w:cs="Calibri"/>
          <w:color w:val="000000" w:themeColor="text1"/>
          <w:sz w:val="22"/>
          <w:szCs w:val="22"/>
          <w14:textFill>
            <w14:solidFill>
              <w14:schemeClr w14:val="tx1"/>
            </w14:solidFill>
          </w14:textFill>
        </w:rPr>
        <w:t>DO NOT email me with questions that are easily found in the syllabus or on Moodle (e.g., When is the assignment due? When are office hours?). While I will do my best to respond to emails within 24 hours, you will more likely receive email responses from me on weekdays from 9:00am-18:00pm.</w:t>
      </w:r>
    </w:p>
    <w:p w14:paraId="659D2353">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p>
    <w:p w14:paraId="586122A2">
      <w:pPr>
        <w:pStyle w:val="48"/>
        <w:numPr>
          <w:ilvl w:val="0"/>
          <w:numId w:val="7"/>
        </w:numPr>
        <w:spacing w:after="0" w:line="240" w:lineRule="auto"/>
        <w:ind w:right="420"/>
        <w:outlineLvl w:val="1"/>
        <w:rPr>
          <w:rFonts w:ascii="Arial Narrow" w:hAnsi="Arial Narrow" w:eastAsia="Times New Roman" w:cs="Times New Roman"/>
          <w:b/>
          <w:bCs/>
          <w:i/>
          <w:color w:val="000000" w:themeColor="text1"/>
          <w:sz w:val="22"/>
          <w:szCs w:val="22"/>
          <w14:textFill>
            <w14:solidFill>
              <w14:schemeClr w14:val="tx1"/>
            </w14:solidFill>
          </w14:textFill>
        </w:rPr>
      </w:pPr>
      <w:r>
        <w:rPr>
          <w:rFonts w:ascii="Arial Narrow" w:hAnsi="Arial Narrow" w:eastAsia="Times New Roman" w:cs="Calibri"/>
          <w:b/>
          <w:bCs/>
          <w:i/>
          <w:color w:val="000000" w:themeColor="text1"/>
          <w:sz w:val="22"/>
          <w:szCs w:val="22"/>
          <w14:textFill>
            <w14:solidFill>
              <w14:schemeClr w14:val="tx1"/>
            </w14:solidFill>
          </w14:textFill>
        </w:rPr>
        <w:t>Communication with Peers:</w:t>
      </w:r>
    </w:p>
    <w:p w14:paraId="217A87E1">
      <w:pPr>
        <w:spacing w:after="0" w:line="240" w:lineRule="auto"/>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color w:val="000000" w:themeColor="text1"/>
          <w:sz w:val="22"/>
          <w:szCs w:val="22"/>
          <w14:textFill>
            <w14:solidFill>
              <w14:schemeClr w14:val="tx1"/>
            </w14:solidFill>
          </w14:textFill>
        </w:rPr>
        <w:t>It is important that we agree to conduct ourselves in a professional manner and that we work together to foster a classroom environment in which we can respectfully discuss and deliberate controversial questions. Students are encouraged to express opinions, however, they are expected to voice arguments supported them with evidence.</w:t>
      </w:r>
    </w:p>
    <w:p w14:paraId="5B0B5B9A">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r>
        <w:rPr>
          <w:rFonts w:ascii="Arial Narrow" w:hAnsi="Arial Narrow" w:eastAsia="Times New Roman" w:cs="Calibri"/>
          <w:color w:val="000000" w:themeColor="text1"/>
          <w:sz w:val="22"/>
          <w:szCs w:val="22"/>
          <w14:textFill>
            <w14:solidFill>
              <w14:schemeClr w14:val="tx1"/>
            </w14:solidFill>
          </w14:textFill>
        </w:rPr>
        <w:t>Any behavior that threatens classroom atmosphere and learning environment (including harassment, sexual harassment, and ethnic, gender and/or culturally derogatory language) will not be tolerated. Please alert me immediately if you feel threatened, dismissed, or silenced at any point during our semester.</w:t>
      </w:r>
    </w:p>
    <w:p w14:paraId="2B1EE57A">
      <w:pPr>
        <w:spacing w:after="0" w:line="240" w:lineRule="auto"/>
        <w:rPr>
          <w:rFonts w:ascii="Arial Narrow" w:hAnsi="Arial Narrow" w:eastAsia="Arial Narrow" w:cs="Arial Narrow"/>
          <w:color w:val="000000" w:themeColor="text1"/>
          <w:sz w:val="22"/>
          <w:szCs w:val="22"/>
          <w:u w:color="000000"/>
          <w14:textFill>
            <w14:solidFill>
              <w14:schemeClr w14:val="tx1"/>
            </w14:solidFill>
          </w14:textFill>
        </w:rPr>
      </w:pPr>
    </w:p>
    <w:p w14:paraId="5B564020">
      <w:pPr>
        <w:pStyle w:val="48"/>
        <w:numPr>
          <w:ilvl w:val="0"/>
          <w:numId w:val="7"/>
        </w:numPr>
        <w:spacing w:after="0" w:line="240" w:lineRule="auto"/>
        <w:rPr>
          <w:rFonts w:ascii="Arial Narrow" w:hAnsi="Arial Narrow" w:eastAsia="Arial Narrow" w:cs="Arial Narrow"/>
          <w:b/>
          <w:i/>
          <w:iCs/>
          <w:color w:val="000000" w:themeColor="text1"/>
          <w:sz w:val="22"/>
          <w:szCs w:val="22"/>
          <w:u w:color="000000"/>
          <w14:textFill>
            <w14:solidFill>
              <w14:schemeClr w14:val="tx1"/>
            </w14:solidFill>
          </w14:textFill>
        </w:rPr>
      </w:pPr>
      <w:r>
        <w:rPr>
          <w:rFonts w:ascii="Arial Narrow" w:hAnsi="Arial Narrow" w:cs="Arial Unicode MS"/>
          <w:b/>
          <w:i/>
          <w:iCs/>
          <w:color w:val="000000" w:themeColor="text1"/>
          <w:sz w:val="22"/>
          <w:szCs w:val="22"/>
          <w:u w:color="000000"/>
          <w14:textFill>
            <w14:solidFill>
              <w14:schemeClr w14:val="tx1"/>
            </w14:solidFill>
          </w14:textFill>
        </w:rPr>
        <w:t>Attendance Policy </w:t>
      </w:r>
    </w:p>
    <w:p w14:paraId="08484B5E">
      <w:pPr>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 xml:space="preserve">KIMEP benchmarks best practices from top universities when developing equitable academic policies. This is a generally accepted and recognized practice across higher education. If a student fails to attend classes, that equals more than 20% of classroom instruction, then penalties will incur. </w:t>
      </w:r>
      <w:r>
        <w:rPr>
          <w:rFonts w:ascii="Arial Narrow" w:hAnsi="Arial Narrow" w:cs="Arial Unicode MS"/>
          <w:b/>
          <w:bCs/>
          <w:color w:val="000000" w:themeColor="text1"/>
          <w:sz w:val="22"/>
          <w:szCs w:val="22"/>
          <w:u w:color="000000"/>
          <w14:textFill>
            <w14:solidFill>
              <w14:schemeClr w14:val="tx1"/>
            </w14:solidFill>
          </w14:textFill>
        </w:rPr>
        <w:t xml:space="preserve">The penalty will consist of a 10% reduction from the final grade in addition to a 2% reduction for each additional absence over the 20% from the final grade. </w:t>
      </w:r>
      <w:r>
        <w:rPr>
          <w:rFonts w:ascii="Arial Narrow" w:hAnsi="Arial Narrow" w:cs="Arial Unicode MS"/>
          <w:color w:val="000000" w:themeColor="text1"/>
          <w:sz w:val="22"/>
          <w:szCs w:val="22"/>
          <w:u w:color="000000"/>
          <w14:textFill>
            <w14:solidFill>
              <w14:schemeClr w14:val="tx1"/>
            </w14:solidFill>
          </w14:textFill>
        </w:rPr>
        <w:t>It is up to the student to monitor his/her own attendance, which starts from the first day of class until the end of the semester.</w:t>
      </w:r>
    </w:p>
    <w:p w14:paraId="58801570">
      <w:pPr>
        <w:rPr>
          <w:rFonts w:ascii="Arial Narrow" w:hAnsi="Arial Narrow" w:cs="Arial Unicode MS"/>
          <w:b/>
          <w:bCs/>
          <w:color w:val="000000" w:themeColor="text1"/>
          <w:sz w:val="22"/>
          <w:szCs w:val="22"/>
          <w:u w:color="000000"/>
          <w14:textFill>
            <w14:solidFill>
              <w14:schemeClr w14:val="tx1"/>
            </w14:solidFill>
          </w14:textFill>
        </w:rPr>
      </w:pPr>
      <w:r>
        <w:rPr>
          <w:rFonts w:ascii="Arial Narrow" w:hAnsi="Arial Narrow" w:cs="Arial Unicode MS"/>
          <w:i/>
          <w:color w:val="000000" w:themeColor="text1"/>
          <w:sz w:val="22"/>
          <w:szCs w:val="22"/>
          <w:u w:color="000000"/>
          <w14:textFill>
            <w14:solidFill>
              <w14:schemeClr w14:val="tx1"/>
            </w14:solidFill>
          </w14:textFill>
        </w:rPr>
        <w:t>*Note: Those with special circumstances, such as pregnancy, military service, disability, severe illness, etc., the student must discuss, provide appropriate documentation and be granted any accommodation in the faculty member's discretion, before such circumstance requires total absences in a course to exceed twenty percent in order to avoid strict application of this policy in their situations. </w:t>
      </w:r>
      <w:r>
        <w:rPr>
          <w:rFonts w:ascii="Arial Narrow" w:hAnsi="Arial Narrow" w:cs="Arial Unicode MS"/>
          <w:b/>
          <w:bCs/>
          <w:color w:val="000000" w:themeColor="text1"/>
          <w:sz w:val="22"/>
          <w:szCs w:val="22"/>
          <w:u w:color="000000"/>
          <w14:textFill>
            <w14:solidFill>
              <w14:schemeClr w14:val="tx1"/>
            </w14:solidFill>
          </w14:textFill>
        </w:rPr>
        <w:t>Even with medical certificates approved by the KIMEP Senior Doctor, the instructor has the option of determining if the severity of the illness warrants an excuse.</w:t>
      </w:r>
    </w:p>
    <w:p w14:paraId="27A1144D">
      <w:pPr>
        <w:spacing w:after="0" w:line="240" w:lineRule="auto"/>
        <w:rPr>
          <w:rFonts w:ascii="Arial Narrow" w:hAnsi="Arial Narrow" w:eastAsia="Arial Narrow" w:cs="Arial Narrow"/>
          <w:color w:val="000000" w:themeColor="text1"/>
          <w:sz w:val="22"/>
          <w:szCs w:val="22"/>
          <w:u w:color="000000"/>
          <w14:textFill>
            <w14:solidFill>
              <w14:schemeClr w14:val="tx1"/>
            </w14:solidFill>
          </w14:textFill>
        </w:rPr>
      </w:pPr>
    </w:p>
    <w:p w14:paraId="6994A8B5">
      <w:pPr>
        <w:pStyle w:val="48"/>
        <w:numPr>
          <w:ilvl w:val="0"/>
          <w:numId w:val="7"/>
        </w:numPr>
        <w:spacing w:after="0" w:line="240" w:lineRule="auto"/>
        <w:rPr>
          <w:rFonts w:ascii="Arial Narrow" w:hAnsi="Arial Narrow" w:eastAsia="Arial Narrow" w:cs="Arial Narrow"/>
          <w:b/>
          <w:i/>
          <w:iCs/>
          <w:color w:val="000000" w:themeColor="text1"/>
          <w:sz w:val="22"/>
          <w:szCs w:val="22"/>
          <w:u w:color="000000"/>
          <w14:textFill>
            <w14:solidFill>
              <w14:schemeClr w14:val="tx1"/>
            </w14:solidFill>
          </w14:textFill>
        </w:rPr>
      </w:pPr>
      <w:r>
        <w:rPr>
          <w:rFonts w:ascii="Arial Narrow" w:hAnsi="Arial Narrow" w:cs="Arial Unicode MS"/>
          <w:b/>
          <w:i/>
          <w:iCs/>
          <w:color w:val="000000" w:themeColor="text1"/>
          <w:sz w:val="22"/>
          <w:szCs w:val="22"/>
          <w:u w:color="000000"/>
          <w14:textFill>
            <w14:solidFill>
              <w14:schemeClr w14:val="tx1"/>
            </w14:solidFill>
          </w14:textFill>
        </w:rPr>
        <w:t>Office hours </w:t>
      </w:r>
    </w:p>
    <w:p w14:paraId="071926B0">
      <w:pPr>
        <w:spacing w:after="0" w:line="240" w:lineRule="auto"/>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Students are encouraged to meet with the instructor during scheduled office hours or by appointment to discuss their written work and academic performance. If your instructor writes to you, it will be to your KIMEP email address; thus it is important you check this email address regularly. All concerns about grades or issues related to the course should be expressed in a timely manner and prior to the end of the semester. It is a student responsibility to seek from the instructor additional feedback on assignments, grading guidelines and policies. </w:t>
      </w:r>
    </w:p>
    <w:p w14:paraId="017B2534">
      <w:pPr>
        <w:jc w:val="both"/>
        <w:rPr>
          <w:rFonts w:ascii="Arial Narrow" w:hAnsi="Arial Narrow" w:cs="Arial Unicode MS"/>
          <w:color w:val="000000" w:themeColor="text1"/>
          <w:sz w:val="22"/>
          <w:szCs w:val="22"/>
          <w:u w:color="000000"/>
          <w14:textFill>
            <w14:solidFill>
              <w14:schemeClr w14:val="tx1"/>
            </w14:solidFill>
          </w14:textFill>
        </w:rPr>
      </w:pPr>
    </w:p>
    <w:p w14:paraId="4A8F8CA8">
      <w:pPr>
        <w:jc w:val="both"/>
        <w:rPr>
          <w:rFonts w:ascii="Arial Narrow" w:hAnsi="Arial Narrow" w:cs="Arial"/>
          <w:bCs/>
          <w:color w:val="000000" w:themeColor="text1"/>
          <w:sz w:val="22"/>
          <w:szCs w:val="22"/>
          <w14:textFill>
            <w14:solidFill>
              <w14:schemeClr w14:val="tx1"/>
            </w14:solidFill>
          </w14:textFill>
        </w:rPr>
      </w:pPr>
      <w:r>
        <w:rPr>
          <w:rFonts w:ascii="Arial Narrow" w:hAnsi="Arial Narrow" w:cs="Arial Unicode MS"/>
          <w:b/>
          <w:bCs/>
          <w:color w:val="000000" w:themeColor="text1"/>
          <w:sz w:val="22"/>
          <w:szCs w:val="22"/>
          <w:u w:color="000000"/>
          <w14:textFill>
            <w14:solidFill>
              <w14:schemeClr w14:val="tx1"/>
            </w14:solidFill>
          </w14:textFill>
        </w:rPr>
        <w:t xml:space="preserve">11. </w:t>
      </w:r>
      <w:r>
        <w:rPr>
          <w:rFonts w:ascii="Arial Narrow" w:hAnsi="Arial Narrow" w:cs="Arial"/>
          <w:b/>
          <w:bCs/>
          <w:color w:val="000000" w:themeColor="text1"/>
          <w:sz w:val="22"/>
          <w:szCs w:val="22"/>
          <w14:textFill>
            <w14:solidFill>
              <w14:schemeClr w14:val="tx1"/>
            </w14:solidFill>
          </w14:textFill>
        </w:rPr>
        <w:t xml:space="preserve">Teaching and learning philosophy </w:t>
      </w:r>
    </w:p>
    <w:p w14:paraId="1746876D">
      <w:pPr>
        <w:jc w:val="both"/>
        <w:rPr>
          <w:rFonts w:ascii="Arial Narrow" w:hAnsi="Arial Narrow" w:cs="Arial"/>
          <w:color w:val="000000" w:themeColor="text1"/>
          <w:sz w:val="22"/>
          <w:szCs w:val="22"/>
          <w14:textFill>
            <w14:solidFill>
              <w14:schemeClr w14:val="tx1"/>
            </w14:solidFill>
          </w14:textFill>
        </w:rPr>
      </w:pPr>
      <w:r>
        <w:rPr>
          <w:rFonts w:ascii="Arial Narrow" w:hAnsi="Arial Narrow" w:cs="Arial"/>
          <w:b/>
          <w:i/>
          <w:color w:val="000000" w:themeColor="text1"/>
          <w:sz w:val="22"/>
          <w:szCs w:val="22"/>
          <w14:textFill>
            <w14:solidFill>
              <w14:schemeClr w14:val="tx1"/>
            </w14:solidFill>
          </w14:textFill>
        </w:rPr>
        <w:t>Personal Objectives</w:t>
      </w:r>
      <w:r>
        <w:rPr>
          <w:rFonts w:ascii="Arial Narrow" w:hAnsi="Arial Narrow" w:cs="Arial"/>
          <w:b/>
          <w:color w:val="000000" w:themeColor="text1"/>
          <w:sz w:val="22"/>
          <w:szCs w:val="22"/>
          <w14:textFill>
            <w14:solidFill>
              <w14:schemeClr w14:val="tx1"/>
            </w14:solidFill>
          </w14:textFill>
        </w:rPr>
        <w:t>:</w:t>
      </w:r>
      <w:r>
        <w:rPr>
          <w:rFonts w:ascii="Arial Narrow" w:hAnsi="Arial Narrow" w:cs="Arial"/>
          <w:color w:val="000000" w:themeColor="text1"/>
          <w:sz w:val="22"/>
          <w:szCs w:val="22"/>
          <w14:textFill>
            <w14:solidFill>
              <w14:schemeClr w14:val="tx1"/>
            </w14:solidFill>
          </w14:textFill>
        </w:rPr>
        <w:t xml:space="preserve"> This course operates on the principle of “continuous assessment.” The course is taught by a combination of student-centered lectures, group discussions and presentations of case studies.  It is important to note that the information provided in my lecture slides is by no means exhaustive, and must be supplemented by your own notes. Lecture slides will generally be made available on the course materials website at some point after the lecture. </w:t>
      </w:r>
    </w:p>
    <w:p w14:paraId="04A9209F">
      <w:pPr>
        <w:jc w:val="both"/>
        <w:rPr>
          <w:rFonts w:ascii="Arial" w:hAnsi="Arial" w:cs="Arial"/>
          <w:color w:val="000000" w:themeColor="text1"/>
          <w:sz w:val="24"/>
          <w:szCs w:val="24"/>
          <w14:textFill>
            <w14:solidFill>
              <w14:schemeClr w14:val="tx1"/>
            </w14:solidFill>
          </w14:textFill>
        </w:rPr>
      </w:pPr>
      <w:r>
        <w:rPr>
          <w:rFonts w:ascii="Arial Narrow" w:hAnsi="Arial Narrow" w:cs="Arial"/>
          <w:b/>
          <w:i/>
          <w:color w:val="000000" w:themeColor="text1"/>
          <w:sz w:val="22"/>
          <w:szCs w:val="22"/>
          <w14:textFill>
            <w14:solidFill>
              <w14:schemeClr w14:val="tx1"/>
            </w14:solidFill>
          </w14:textFill>
        </w:rPr>
        <w:t>Teaching and Learning Approaches</w:t>
      </w:r>
      <w:r>
        <w:rPr>
          <w:rFonts w:ascii="Arial Narrow" w:hAnsi="Arial Narrow" w:cs="Arial"/>
          <w:b/>
          <w:color w:val="000000" w:themeColor="text1"/>
          <w:sz w:val="22"/>
          <w:szCs w:val="22"/>
          <w14:textFill>
            <w14:solidFill>
              <w14:schemeClr w14:val="tx1"/>
            </w14:solidFill>
          </w14:textFill>
        </w:rPr>
        <w:t>:</w:t>
      </w:r>
      <w:r>
        <w:rPr>
          <w:rFonts w:ascii="Arial Narrow" w:hAnsi="Arial Narrow" w:cs="Arial"/>
          <w:color w:val="000000" w:themeColor="text1"/>
          <w:sz w:val="22"/>
          <w:szCs w:val="22"/>
          <w14:textFill>
            <w14:solidFill>
              <w14:schemeClr w14:val="tx1"/>
            </w14:solidFill>
          </w14:textFill>
        </w:rPr>
        <w:t xml:space="preserve"> Students are expected to study all required readings/course materials and think about them prior to coming to the class, so that they will be able to participate and contribute to the exchange of information, ideas and knowledge. </w:t>
      </w:r>
      <w:r>
        <w:rPr>
          <w:rFonts w:ascii="Arial Narrow" w:hAnsi="Arial Narrow" w:cs="Arial"/>
          <w:color w:val="000000" w:themeColor="text1"/>
          <w:sz w:val="22"/>
          <w:szCs w:val="22"/>
          <w:lang w:eastAsia="ru-RU"/>
          <w14:textFill>
            <w14:solidFill>
              <w14:schemeClr w14:val="tx1"/>
            </w14:solidFill>
          </w14:textFill>
        </w:rPr>
        <w:t xml:space="preserve">Active class participation by all students has the advantage of helping to foster tolerance for divergent viewpoints and developing students’ abilities to formulate arguments in a well-reasoned manner. </w:t>
      </w:r>
      <w:r>
        <w:rPr>
          <w:rFonts w:ascii="Arial Narrow" w:hAnsi="Arial Narrow" w:cs="Arial"/>
          <w:color w:val="000000" w:themeColor="text1"/>
          <w:sz w:val="22"/>
          <w:szCs w:val="22"/>
          <w14:textFill>
            <w14:solidFill>
              <w14:schemeClr w14:val="tx1"/>
            </w14:solidFill>
          </w14:textFill>
        </w:rPr>
        <w:t>Application of acquired knowledge to an analysis of the Kazakhstani reality is emphasized</w:t>
      </w:r>
      <w:r>
        <w:rPr>
          <w:rFonts w:ascii="Arial" w:hAnsi="Arial" w:cs="Arial"/>
          <w:color w:val="000000" w:themeColor="text1"/>
          <w:sz w:val="24"/>
          <w:szCs w:val="24"/>
          <w14:textFill>
            <w14:solidFill>
              <w14:schemeClr w14:val="tx1"/>
            </w14:solidFill>
          </w14:textFill>
        </w:rPr>
        <w:t>.</w:t>
      </w:r>
    </w:p>
    <w:p w14:paraId="6AEDD5DF">
      <w:pPr>
        <w:spacing w:after="0" w:line="240" w:lineRule="auto"/>
        <w:rPr>
          <w:rFonts w:ascii="Arial Narrow" w:hAnsi="Arial Narrow" w:eastAsia="Arial Narrow" w:cs="Arial Narrow"/>
          <w:color w:val="000000" w:themeColor="text1"/>
          <w:sz w:val="22"/>
          <w:szCs w:val="22"/>
          <w:u w:color="000000"/>
          <w14:textFill>
            <w14:solidFill>
              <w14:schemeClr w14:val="tx1"/>
            </w14:solidFill>
          </w14:textFill>
        </w:rPr>
      </w:pPr>
    </w:p>
    <w:p w14:paraId="4132C519">
      <w:pPr>
        <w:spacing w:after="0" w:line="240" w:lineRule="auto"/>
        <w:rPr>
          <w:rFonts w:ascii="Arial Narrow" w:hAnsi="Arial Narrow" w:eastAsia="Arial Narrow" w:cs="Arial Narrow"/>
          <w:b/>
          <w:color w:val="000000" w:themeColor="text1"/>
          <w:sz w:val="22"/>
          <w:szCs w:val="22"/>
          <w:u w:color="000000"/>
          <w14:textFill>
            <w14:solidFill>
              <w14:schemeClr w14:val="tx1"/>
            </w14:solidFill>
          </w14:textFill>
        </w:rPr>
      </w:pPr>
      <w:r>
        <w:rPr>
          <w:rFonts w:ascii="Arial Narrow" w:hAnsi="Arial Narrow" w:cs="Arial Unicode MS"/>
          <w:b/>
          <w:color w:val="000000" w:themeColor="text1"/>
          <w:sz w:val="22"/>
          <w:szCs w:val="22"/>
          <w:u w:color="000000"/>
          <w14:textFill>
            <w14:solidFill>
              <w14:schemeClr w14:val="tx1"/>
            </w14:solidFill>
          </w14:textFill>
        </w:rPr>
        <w:t>12. Academic integrity </w:t>
      </w:r>
    </w:p>
    <w:p w14:paraId="53C017F0">
      <w:pPr>
        <w:spacing w:after="0" w:line="240" w:lineRule="auto"/>
        <w:rPr>
          <w:rFonts w:ascii="Arial Narrow" w:hAnsi="Arial Narrow" w:eastAsia="Arial Narrow" w:cs="Arial Narrow"/>
          <w:b/>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 xml:space="preserve">Academic honesty is expected of all students. Cheating and plagiarism are violations of academic honesty. Any student found violating the academic policy will receive an automatic “zero” for the assignment. According to the catalog, if the weight of the assignment where the violation has occurred is more than 10%, the offence is a level 2 offence and has to be referred to the Academic Integrity Committee. </w:t>
      </w:r>
      <w:r>
        <w:rPr>
          <w:rFonts w:ascii="Arial Narrow" w:hAnsi="Arial Narrow" w:cs="Arial Unicode MS"/>
          <w:b/>
          <w:color w:val="000000" w:themeColor="text1"/>
          <w:sz w:val="22"/>
          <w:szCs w:val="22"/>
          <w:u w:color="000000"/>
          <w14:textFill>
            <w14:solidFill>
              <w14:schemeClr w14:val="tx1"/>
            </w14:solidFill>
          </w14:textFill>
        </w:rPr>
        <w:t>This is the text from the catalog. For offences in cases where the weight of the assignment is 10% or less, the Academic Integrity Committee regularly just confirms the zero mark for the assignment.</w:t>
      </w:r>
    </w:p>
    <w:p w14:paraId="0B633373">
      <w:pPr>
        <w:pStyle w:val="49"/>
        <w:rPr>
          <w:rFonts w:ascii="Arial Narrow" w:hAnsi="Arial Narrow" w:eastAsia="Arial Narrow" w:cs="Arial Narrow"/>
          <w:color w:val="000000" w:themeColor="text1"/>
          <w:u w:color="000000"/>
          <w14:textFill>
            <w14:solidFill>
              <w14:schemeClr w14:val="tx1"/>
            </w14:solidFill>
          </w14:textFill>
        </w:rPr>
      </w:pPr>
    </w:p>
    <w:p w14:paraId="77B96D69">
      <w:pPr>
        <w:pStyle w:val="49"/>
        <w:rPr>
          <w:rFonts w:ascii="Arial Narrow" w:hAnsi="Arial Narrow" w:eastAsia="Arial Narrow" w:cs="Arial Narrow"/>
          <w:color w:val="000000" w:themeColor="text1"/>
          <w:u w:color="000000"/>
          <w:shd w:val="clear" w:color="auto" w:fill="FFFFFF"/>
          <w14:textFill>
            <w14:solidFill>
              <w14:schemeClr w14:val="tx1"/>
            </w14:solidFill>
          </w14:textFill>
        </w:rPr>
      </w:pPr>
      <w:r>
        <w:rPr>
          <w:rFonts w:ascii="Arial Narrow" w:hAnsi="Arial Narrow"/>
          <w:color w:val="000000" w:themeColor="text1"/>
          <w:u w:color="000000"/>
          <w:shd w:val="clear" w:color="auto" w:fill="FFFFFF"/>
          <w14:textFill>
            <w14:solidFill>
              <w14:schemeClr w14:val="tx1"/>
            </w14:solidFill>
          </w14:textFill>
        </w:rPr>
        <w:t xml:space="preserve">You are responsible for familiarizing yourself with the University's policy on Academic Honesty. Please review the Academic Integrity Policy reproduced in KIMEP Catalogue (p.130) and on the KIMEP website at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"https://www.kimep.kz/about/files/2018/02/Catalog-for-AY-2023-2024_final.pdf" </w:instrText>
      </w:r>
      <w:r>
        <w:rPr>
          <w:color w:val="000000" w:themeColor="text1"/>
          <w14:textFill>
            <w14:solidFill>
              <w14:schemeClr w14:val="tx1"/>
            </w14:solidFill>
          </w14:textFill>
        </w:rPr>
        <w:fldChar w:fldCharType="separate"/>
      </w:r>
      <w:r>
        <w:rPr>
          <w:rStyle w:val="19"/>
          <w:rFonts w:ascii="Arial Narrow" w:hAnsi="Arial Narrow"/>
          <w:color w:val="000000" w:themeColor="text1"/>
          <w:u w:color="000000"/>
          <w:shd w:val="clear" w:color="auto" w:fill="FFFFFF"/>
          <w14:textFill>
            <w14:solidFill>
              <w14:schemeClr w14:val="tx1"/>
            </w14:solidFill>
          </w14:textFill>
        </w:rPr>
        <w:t>https://www.kimep.kz/about/files/2018/02/Catalog-for-AY-2023-2024_final.pdf</w:t>
      </w:r>
      <w:r>
        <w:rPr>
          <w:rStyle w:val="19"/>
          <w:rFonts w:ascii="Arial Narrow" w:hAnsi="Arial Narrow"/>
          <w:color w:val="000000" w:themeColor="text1"/>
          <w:u w:color="000000"/>
          <w:shd w:val="clear" w:color="auto" w:fill="FFFFFF"/>
          <w14:textFill>
            <w14:solidFill>
              <w14:schemeClr w14:val="tx1"/>
            </w14:solidFill>
          </w14:textFill>
        </w:rPr>
        <w:fldChar w:fldCharType="end"/>
      </w:r>
      <w:r>
        <w:rPr>
          <w:rFonts w:ascii="Arial Narrow" w:hAnsi="Arial Narrow"/>
          <w:color w:val="000000" w:themeColor="text1"/>
          <w:u w:color="000000"/>
          <w:shd w:val="clear" w:color="auto" w:fill="FFFFFF"/>
          <w14:textFill>
            <w14:solidFill>
              <w14:schemeClr w14:val="tx1"/>
            </w14:solidFill>
          </w14:textFill>
        </w:rPr>
        <w:t xml:space="preserve"> .</w:t>
      </w:r>
    </w:p>
    <w:p w14:paraId="1FA73C8C">
      <w:pPr>
        <w:pStyle w:val="49"/>
        <w:rPr>
          <w:rFonts w:ascii="Arial Narrow" w:hAnsi="Arial Narrow" w:eastAsia="Arial Narrow" w:cs="Arial Narrow"/>
          <w:color w:val="000000" w:themeColor="text1"/>
          <w:u w:color="000000"/>
          <w:shd w:val="clear" w:color="auto" w:fill="FFFFFF"/>
          <w14:textFill>
            <w14:solidFill>
              <w14:schemeClr w14:val="tx1"/>
            </w14:solidFill>
          </w14:textFill>
        </w:rPr>
      </w:pPr>
    </w:p>
    <w:p w14:paraId="6DCA93CF">
      <w:pPr>
        <w:pStyle w:val="49"/>
        <w:rPr>
          <w:rFonts w:ascii="Arial Narrow" w:hAnsi="Arial Narrow" w:eastAsia="Arial Narrow" w:cs="Arial Narrow"/>
          <w:color w:val="000000" w:themeColor="text1"/>
          <w:u w:color="000000"/>
          <w:shd w:val="clear" w:color="auto" w:fill="FFFFFF"/>
          <w14:textFill>
            <w14:solidFill>
              <w14:schemeClr w14:val="tx1"/>
            </w14:solidFill>
          </w14:textFill>
        </w:rPr>
      </w:pPr>
      <w:r>
        <w:rPr>
          <w:rFonts w:ascii="Arial Narrow" w:hAnsi="Arial Narrow"/>
          <w:color w:val="000000" w:themeColor="text1"/>
          <w:u w:color="000000"/>
          <w:shd w:val="clear" w:color="auto" w:fill="FFFFFF"/>
          <w14:textFill>
            <w14:solidFill>
              <w14:schemeClr w14:val="tx1"/>
            </w14:solidFill>
          </w14:textFill>
        </w:rPr>
        <w:t xml:space="preserve">Any fact or idea by another person should be cited using APA style in writing and through oral citation during speeches. Representing another author's work as your own is plagiarism. Other forms of cheating include: </w:t>
      </w:r>
    </w:p>
    <w:p w14:paraId="0F955AF2">
      <w:pPr>
        <w:pStyle w:val="49"/>
        <w:numPr>
          <w:ilvl w:val="0"/>
          <w:numId w:val="8"/>
        </w:numPr>
        <w:rPr>
          <w:rFonts w:ascii="Arial Narrow" w:hAnsi="Arial Narrow"/>
          <w:color w:val="000000" w:themeColor="text1"/>
          <w:u w:color="000000"/>
          <w14:textFill>
            <w14:solidFill>
              <w14:schemeClr w14:val="tx1"/>
            </w14:solidFill>
          </w14:textFill>
        </w:rPr>
      </w:pPr>
      <w:r>
        <w:rPr>
          <w:rFonts w:ascii="Arial Narrow" w:hAnsi="Arial Narrow"/>
          <w:color w:val="000000" w:themeColor="text1"/>
          <w:u w:color="000000"/>
          <w:shd w:val="clear" w:color="auto" w:fill="FFFFFF"/>
          <w14:textFill>
            <w14:solidFill>
              <w14:schemeClr w14:val="tx1"/>
            </w14:solidFill>
          </w14:textFill>
        </w:rPr>
        <w:t xml:space="preserve">Copying from another student; </w:t>
      </w:r>
    </w:p>
    <w:p w14:paraId="6FCEBB5F">
      <w:pPr>
        <w:pStyle w:val="49"/>
        <w:numPr>
          <w:ilvl w:val="0"/>
          <w:numId w:val="8"/>
        </w:numPr>
        <w:rPr>
          <w:rFonts w:ascii="Arial Narrow" w:hAnsi="Arial Narrow"/>
          <w:color w:val="000000" w:themeColor="text1"/>
          <w:u w:color="000000"/>
          <w14:textFill>
            <w14:solidFill>
              <w14:schemeClr w14:val="tx1"/>
            </w14:solidFill>
          </w14:textFill>
        </w:rPr>
      </w:pPr>
      <w:r>
        <w:rPr>
          <w:rFonts w:ascii="Arial Narrow" w:hAnsi="Arial Narrow"/>
          <w:color w:val="000000" w:themeColor="text1"/>
          <w:u w:color="000000"/>
          <w:shd w:val="clear" w:color="auto" w:fill="FFFFFF"/>
          <w14:textFill>
            <w14:solidFill>
              <w14:schemeClr w14:val="tx1"/>
            </w14:solidFill>
          </w14:textFill>
        </w:rPr>
        <w:t>Submitting someone else’s work;</w:t>
      </w:r>
    </w:p>
    <w:p w14:paraId="68F713F6">
      <w:pPr>
        <w:pStyle w:val="49"/>
        <w:numPr>
          <w:ilvl w:val="0"/>
          <w:numId w:val="8"/>
        </w:numPr>
        <w:rPr>
          <w:rFonts w:ascii="Arial Narrow" w:hAnsi="Arial Narrow"/>
          <w:color w:val="000000" w:themeColor="text1"/>
          <w:u w:color="000000"/>
          <w14:textFill>
            <w14:solidFill>
              <w14:schemeClr w14:val="tx1"/>
            </w14:solidFill>
          </w14:textFill>
        </w:rPr>
      </w:pPr>
      <w:r>
        <w:rPr>
          <w:rFonts w:ascii="Arial Narrow" w:hAnsi="Arial Narrow"/>
          <w:color w:val="000000" w:themeColor="text1"/>
          <w:u w:color="000000"/>
          <w:shd w:val="clear" w:color="auto" w:fill="FFFFFF"/>
          <w14:textFill>
            <w14:solidFill>
              <w14:schemeClr w14:val="tx1"/>
            </w14:solidFill>
          </w14:textFill>
        </w:rPr>
        <w:t xml:space="preserve">Using unauthorized notes; </w:t>
      </w:r>
    </w:p>
    <w:p w14:paraId="69C5A64C">
      <w:pPr>
        <w:pStyle w:val="49"/>
        <w:numPr>
          <w:ilvl w:val="0"/>
          <w:numId w:val="8"/>
        </w:numPr>
        <w:rPr>
          <w:rFonts w:ascii="Arial Narrow" w:hAnsi="Arial Narrow"/>
          <w:color w:val="000000" w:themeColor="text1"/>
          <w:u w:color="000000"/>
          <w14:textFill>
            <w14:solidFill>
              <w14:schemeClr w14:val="tx1"/>
            </w14:solidFill>
          </w14:textFill>
        </w:rPr>
      </w:pPr>
      <w:r>
        <w:rPr>
          <w:rFonts w:ascii="Arial Narrow" w:hAnsi="Arial Narrow"/>
          <w:color w:val="000000" w:themeColor="text1"/>
          <w:u w:color="000000"/>
          <w:shd w:val="clear" w:color="auto" w:fill="FFFFFF"/>
          <w14:textFill>
            <w14:solidFill>
              <w14:schemeClr w14:val="tx1"/>
            </w14:solidFill>
          </w14:textFill>
        </w:rPr>
        <w:t xml:space="preserve">Not indicating sources (both in-text and after text); </w:t>
      </w:r>
    </w:p>
    <w:p w14:paraId="5E899AF5">
      <w:pPr>
        <w:pStyle w:val="49"/>
        <w:numPr>
          <w:ilvl w:val="0"/>
          <w:numId w:val="8"/>
        </w:numPr>
        <w:rPr>
          <w:rFonts w:ascii="Arial Narrow" w:hAnsi="Arial Narrow"/>
          <w:color w:val="000000" w:themeColor="text1"/>
          <w:u w:color="000000"/>
          <w14:textFill>
            <w14:solidFill>
              <w14:schemeClr w14:val="tx1"/>
            </w14:solidFill>
          </w14:textFill>
        </w:rPr>
      </w:pPr>
      <w:r>
        <w:rPr>
          <w:rFonts w:ascii="Arial Narrow" w:hAnsi="Arial Narrow"/>
          <w:color w:val="000000" w:themeColor="text1"/>
          <w:u w:color="000000"/>
          <w:shd w:val="clear" w:color="auto" w:fill="FFFFFF"/>
          <w14:textFill>
            <w14:solidFill>
              <w14:schemeClr w14:val="tx1"/>
            </w14:solidFill>
          </w14:textFill>
        </w:rPr>
        <w:t xml:space="preserve">Falsification of sources; </w:t>
      </w:r>
    </w:p>
    <w:p w14:paraId="600A91AD">
      <w:pPr>
        <w:pStyle w:val="49"/>
        <w:numPr>
          <w:ilvl w:val="0"/>
          <w:numId w:val="8"/>
        </w:numPr>
        <w:rPr>
          <w:rFonts w:ascii="Arial Narrow" w:hAnsi="Arial Narrow"/>
          <w:color w:val="000000" w:themeColor="text1"/>
          <w:u w:color="000000"/>
          <w14:textFill>
            <w14:solidFill>
              <w14:schemeClr w14:val="tx1"/>
            </w14:solidFill>
          </w14:textFill>
        </w:rPr>
      </w:pPr>
      <w:r>
        <w:rPr>
          <w:rFonts w:ascii="Arial Narrow" w:hAnsi="Arial Narrow"/>
          <w:color w:val="000000" w:themeColor="text1"/>
          <w:u w:color="000000"/>
          <w:shd w:val="clear" w:color="auto" w:fill="FFFFFF"/>
          <w14:textFill>
            <w14:solidFill>
              <w14:schemeClr w14:val="tx1"/>
            </w14:solidFill>
          </w14:textFill>
        </w:rPr>
        <w:t>Falsification of data;</w:t>
      </w:r>
    </w:p>
    <w:p w14:paraId="1083908A">
      <w:pPr>
        <w:pStyle w:val="49"/>
        <w:numPr>
          <w:ilvl w:val="0"/>
          <w:numId w:val="8"/>
        </w:numPr>
        <w:rPr>
          <w:rFonts w:ascii="Arial Narrow" w:hAnsi="Arial Narrow"/>
          <w:color w:val="000000" w:themeColor="text1"/>
          <w:u w:color="000000"/>
          <w14:textFill>
            <w14:solidFill>
              <w14:schemeClr w14:val="tx1"/>
            </w14:solidFill>
          </w14:textFill>
        </w:rPr>
      </w:pPr>
      <w:r>
        <w:rPr>
          <w:rFonts w:ascii="Arial Narrow" w:hAnsi="Arial Narrow"/>
          <w:color w:val="000000" w:themeColor="text1"/>
          <w:u w:color="000000"/>
          <w:shd w:val="clear" w:color="auto" w:fill="FFFFFF"/>
          <w14:textFill>
            <w14:solidFill>
              <w14:schemeClr w14:val="tx1"/>
            </w14:solidFill>
          </w14:textFill>
        </w:rPr>
        <w:t xml:space="preserve">Self-plagiarism (‘recycling’ your earlier work); and </w:t>
      </w:r>
    </w:p>
    <w:p w14:paraId="224CA6D2">
      <w:pPr>
        <w:pStyle w:val="49"/>
        <w:numPr>
          <w:ilvl w:val="0"/>
          <w:numId w:val="8"/>
        </w:numPr>
        <w:rPr>
          <w:rFonts w:ascii="Arial Narrow" w:hAnsi="Arial Narrow"/>
          <w:color w:val="000000" w:themeColor="text1"/>
          <w:u w:color="000000"/>
          <w14:textFill>
            <w14:solidFill>
              <w14:schemeClr w14:val="tx1"/>
            </w14:solidFill>
          </w14:textFill>
        </w:rPr>
      </w:pPr>
      <w:r>
        <w:rPr>
          <w:rFonts w:ascii="Arial Narrow" w:hAnsi="Arial Narrow"/>
          <w:color w:val="000000" w:themeColor="text1"/>
          <w:u w:color="000000"/>
          <w:shd w:val="clear" w:color="auto" w:fill="FFFFFF"/>
          <w14:textFill>
            <w14:solidFill>
              <w14:schemeClr w14:val="tx1"/>
            </w14:solidFill>
          </w14:textFill>
        </w:rPr>
        <w:t>Mechanical paraphrase, electronic translations, editing services, and other cases noted by the instructor.</w:t>
      </w:r>
    </w:p>
    <w:p w14:paraId="4C49CFE8">
      <w:pPr>
        <w:pStyle w:val="49"/>
        <w:rPr>
          <w:rFonts w:ascii="Arial Narrow" w:hAnsi="Arial Narrow"/>
          <w:color w:val="000000" w:themeColor="text1"/>
          <w:u w:color="000000"/>
          <w:shd w:val="clear" w:color="auto" w:fill="FFFFFF"/>
          <w14:textFill>
            <w14:solidFill>
              <w14:schemeClr w14:val="tx1"/>
            </w14:solidFill>
          </w14:textFill>
        </w:rPr>
      </w:pPr>
    </w:p>
    <w:p w14:paraId="64B4A01C">
      <w:pPr>
        <w:pStyle w:val="49"/>
        <w:rPr>
          <w:rFonts w:ascii="Arial Narrow" w:hAnsi="Arial Narrow"/>
          <w:color w:val="000000" w:themeColor="text1"/>
          <w:u w:color="000000"/>
          <w:shd w:val="clear" w:color="auto" w:fill="FFFFFF"/>
          <w14:textFill>
            <w14:solidFill>
              <w14:schemeClr w14:val="tx1"/>
            </w14:solidFill>
          </w14:textFill>
        </w:rPr>
      </w:pPr>
    </w:p>
    <w:p w14:paraId="454E515F">
      <w:pPr>
        <w:pStyle w:val="49"/>
        <w:rPr>
          <w:rFonts w:ascii="Arial Narrow" w:hAnsi="Arial Narrow"/>
          <w:color w:val="000000" w:themeColor="text1"/>
          <w:u w:color="000000"/>
          <w14:textFill>
            <w14:solidFill>
              <w14:schemeClr w14:val="tx1"/>
            </w14:solidFill>
          </w14:textFill>
        </w:rPr>
      </w:pPr>
    </w:p>
    <w:p w14:paraId="46DA1D6E">
      <w:pPr>
        <w:spacing w:after="0" w:line="240" w:lineRule="auto"/>
        <w:rPr>
          <w:rFonts w:ascii="Arial Narrow" w:hAnsi="Arial Narrow" w:eastAsia="Arial Narrow" w:cs="Arial Narrow"/>
          <w:i/>
          <w:iCs/>
          <w:color w:val="000000" w:themeColor="text1"/>
          <w:sz w:val="22"/>
          <w:szCs w:val="22"/>
          <w:u w:color="000000"/>
          <w14:textFill>
            <w14:solidFill>
              <w14:schemeClr w14:val="tx1"/>
            </w14:solidFill>
          </w14:textFill>
        </w:rPr>
      </w:pPr>
    </w:p>
    <w:p w14:paraId="6AF49C1A">
      <w:pPr>
        <w:pStyle w:val="48"/>
        <w:spacing w:after="0"/>
        <w:ind w:left="0"/>
        <w:rPr>
          <w:rFonts w:ascii="Arial Narrow" w:hAnsi="Arial Narrow" w:cs="Arial Unicode MS"/>
          <w:b/>
          <w:color w:val="000000" w:themeColor="text1"/>
          <w:sz w:val="22"/>
          <w:szCs w:val="22"/>
          <w:u w:color="000000"/>
          <w14:textFill>
            <w14:solidFill>
              <w14:schemeClr w14:val="tx1"/>
            </w14:solidFill>
          </w14:textFill>
        </w:rPr>
      </w:pPr>
      <w:r>
        <w:rPr>
          <w:rFonts w:ascii="Arial Narrow" w:hAnsi="Arial Narrow" w:cs="Arial Unicode MS"/>
          <w:b/>
          <w:color w:val="000000" w:themeColor="text1"/>
          <w:sz w:val="22"/>
          <w:szCs w:val="22"/>
          <w:u w:color="000000"/>
          <w14:textFill>
            <w14:solidFill>
              <w14:schemeClr w14:val="tx1"/>
            </w14:solidFill>
          </w14:textFill>
        </w:rPr>
        <w:t>13. Policy on the Use of Generative AI Software</w:t>
      </w:r>
    </w:p>
    <w:p w14:paraId="45157686">
      <w:pPr>
        <w:spacing w:after="0"/>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Generative AI is software, for example, ChatGPT, can perform advanced processing of text at skill levels that at least appear similar to a human. Generative AI software is quickly being adopted in many facets of internet services, legal practice, and everyday programming. At the same time, Generative AI presents risks to KIMEP’s shared pedagogical mission.</w:t>
      </w:r>
    </w:p>
    <w:p w14:paraId="6370CDDE">
      <w:pPr>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For this reason, KIMEP adopts the following general guidelines providing structure to use of Generative AI.</w:t>
      </w:r>
    </w:p>
    <w:p w14:paraId="799699A8">
      <w:pPr>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Student Responsibility:</w:t>
      </w:r>
    </w:p>
    <w:p w14:paraId="2191C455">
      <w:pPr>
        <w:pStyle w:val="48"/>
        <w:numPr>
          <w:ilvl w:val="0"/>
          <w:numId w:val="9"/>
        </w:numPr>
        <w:spacing w:after="160" w:line="259" w:lineRule="auto"/>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Use of AI tools is permitted to help brainstorm assignments, to revise existing personally generated work, or to prepare for exams.</w:t>
      </w:r>
    </w:p>
    <w:p w14:paraId="7025C5EB">
      <w:pPr>
        <w:pStyle w:val="48"/>
        <w:numPr>
          <w:ilvl w:val="0"/>
          <w:numId w:val="9"/>
        </w:numPr>
        <w:spacing w:after="160" w:line="259" w:lineRule="auto"/>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Students must clearly attribute what AI-generated material informed or supported their work by clearly marking tasks that were generated by AI.</w:t>
      </w:r>
    </w:p>
    <w:p w14:paraId="7426CECA">
      <w:pPr>
        <w:pStyle w:val="48"/>
        <w:numPr>
          <w:ilvl w:val="0"/>
          <w:numId w:val="9"/>
        </w:numPr>
        <w:spacing w:after="160" w:line="259" w:lineRule="auto"/>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Students’ primary responsibility is to ensure the accuracy of AI-produced information.</w:t>
      </w:r>
    </w:p>
    <w:p w14:paraId="0FD8167E">
      <w:pPr>
        <w:pStyle w:val="48"/>
        <w:numPr>
          <w:ilvl w:val="0"/>
          <w:numId w:val="9"/>
        </w:numPr>
        <w:spacing w:after="160" w:line="259" w:lineRule="auto"/>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All work submitted by students for grading must be produced by students themselves (individually or groups).</w:t>
      </w:r>
    </w:p>
    <w:p w14:paraId="6FE3A408">
      <w:pPr>
        <w:pStyle w:val="48"/>
        <w:numPr>
          <w:ilvl w:val="0"/>
          <w:numId w:val="9"/>
        </w:numPr>
        <w:spacing w:after="160" w:line="259" w:lineRule="auto"/>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 xml:space="preserve">All written assignments must be uploaded into the Learning Management System (Moodle). </w:t>
      </w:r>
    </w:p>
    <w:p w14:paraId="0B18B2F5">
      <w:pPr>
        <w:pStyle w:val="48"/>
        <w:numPr>
          <w:ilvl w:val="0"/>
          <w:numId w:val="9"/>
        </w:numPr>
        <w:spacing w:after="160" w:line="259" w:lineRule="auto"/>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Students must NOT engage hiring external person or company to write assignments</w:t>
      </w:r>
    </w:p>
    <w:p w14:paraId="4D9611C8">
      <w:pPr>
        <w:pStyle w:val="48"/>
        <w:numPr>
          <w:ilvl w:val="0"/>
          <w:numId w:val="9"/>
        </w:numPr>
        <w:spacing w:after="160" w:line="259" w:lineRule="auto"/>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It is prohibited to use generative AI tools to generate ANY portion of the assignment.</w:t>
      </w:r>
    </w:p>
    <w:p w14:paraId="11350904">
      <w:pPr>
        <w:pStyle w:val="48"/>
        <w:numPr>
          <w:ilvl w:val="0"/>
          <w:numId w:val="9"/>
        </w:numPr>
        <w:spacing w:after="160" w:line="259" w:lineRule="auto"/>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Using AI tools, like ChatGPT, to generate content qualifies as academic dishonesty.</w:t>
      </w:r>
    </w:p>
    <w:p w14:paraId="42046752">
      <w:pPr>
        <w:pStyle w:val="48"/>
        <w:numPr>
          <w:ilvl w:val="0"/>
          <w:numId w:val="9"/>
        </w:numPr>
        <w:spacing w:after="160" w:line="259" w:lineRule="auto"/>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Students agree that their work can be checked by AI detection tools.</w:t>
      </w:r>
    </w:p>
    <w:p w14:paraId="3AA78C63">
      <w:pPr>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Instructor Responsibility:</w:t>
      </w:r>
    </w:p>
    <w:p w14:paraId="48C172B4">
      <w:pPr>
        <w:pStyle w:val="48"/>
        <w:numPr>
          <w:ilvl w:val="0"/>
          <w:numId w:val="9"/>
        </w:numPr>
        <w:spacing w:after="160" w:line="259" w:lineRule="auto"/>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Instructors should provide sufficient weight to the quality of the answers on written assignments. Weak answers result in lower grading and potentially a failing grade for the assignment.</w:t>
      </w:r>
    </w:p>
    <w:p w14:paraId="405A3AD5">
      <w:pPr>
        <w:pStyle w:val="48"/>
        <w:numPr>
          <w:ilvl w:val="0"/>
          <w:numId w:val="9"/>
        </w:numPr>
        <w:spacing w:after="160" w:line="259" w:lineRule="auto"/>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A sufficient grade weight to assessment should be provided (especially) written work done in the classroom.</w:t>
      </w:r>
    </w:p>
    <w:p w14:paraId="608FD63E">
      <w:pPr>
        <w:pStyle w:val="48"/>
        <w:numPr>
          <w:ilvl w:val="0"/>
          <w:numId w:val="9"/>
        </w:numPr>
        <w:spacing w:after="160" w:line="259" w:lineRule="auto"/>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Instructors need to monitor and be aware of written assignments and the policy provided herein.</w:t>
      </w:r>
    </w:p>
    <w:p w14:paraId="6F2B50E5">
      <w:pPr>
        <w:pStyle w:val="48"/>
        <w:numPr>
          <w:ilvl w:val="0"/>
          <w:numId w:val="9"/>
        </w:numPr>
        <w:spacing w:after="160" w:line="259" w:lineRule="auto"/>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Instructors need to be the gatekeepers of quality of instruction, learning and academic integrity.</w:t>
      </w:r>
    </w:p>
    <w:p w14:paraId="50C88CF6">
      <w:pPr>
        <w:spacing w:after="0" w:line="240" w:lineRule="auto"/>
        <w:rPr>
          <w:rFonts w:ascii="Arial Narrow" w:hAnsi="Arial Narrow" w:eastAsia="Arial Narrow" w:cs="Arial Narrow"/>
          <w:b/>
          <w:color w:val="000000" w:themeColor="text1"/>
          <w:sz w:val="22"/>
          <w:szCs w:val="22"/>
          <w:u w:color="000000"/>
          <w14:textFill>
            <w14:solidFill>
              <w14:schemeClr w14:val="tx1"/>
            </w14:solidFill>
          </w14:textFill>
        </w:rPr>
      </w:pPr>
      <w:r>
        <w:rPr>
          <w:rFonts w:ascii="Arial Narrow" w:hAnsi="Arial Narrow" w:cs="Arial Unicode MS"/>
          <w:b/>
          <w:color w:val="000000" w:themeColor="text1"/>
          <w:sz w:val="22"/>
          <w:szCs w:val="22"/>
          <w:u w:color="000000"/>
          <w14:textFill>
            <w14:solidFill>
              <w14:schemeClr w14:val="tx1"/>
            </w14:solidFill>
          </w14:textFill>
        </w:rPr>
        <w:t>14. Late assignments </w:t>
      </w:r>
    </w:p>
    <w:p w14:paraId="3771EE37">
      <w:pPr>
        <w:spacing w:after="0" w:line="240" w:lineRule="auto"/>
        <w:rPr>
          <w:rFonts w:ascii="Arial Narrow" w:hAnsi="Arial Narrow" w:eastAsia="Arial Narrow" w:cs="Arial Narrow"/>
          <w:b/>
          <w:i/>
          <w:iC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All assignments, unless otherwise indicated, must be submitted on the days they are due. Assignments that are late for up to 48 hours can be accepted with points’ deduction (up to 30% of the total depending on the assignment). Submissions later than 48 hours are not accepted.</w:t>
      </w:r>
    </w:p>
    <w:p w14:paraId="28CC8A73">
      <w:pPr>
        <w:spacing w:after="0" w:line="240" w:lineRule="auto"/>
        <w:rPr>
          <w:rFonts w:ascii="Arial Narrow" w:hAnsi="Arial Narrow" w:eastAsia="Arial Narrow" w:cs="Arial Narrow"/>
          <w:color w:val="000000" w:themeColor="text1"/>
          <w:sz w:val="22"/>
          <w:szCs w:val="22"/>
          <w:u w:color="000000"/>
          <w14:textFill>
            <w14:solidFill>
              <w14:schemeClr w14:val="tx1"/>
            </w14:solidFill>
          </w14:textFill>
        </w:rPr>
      </w:pPr>
    </w:p>
    <w:p w14:paraId="49E828C8">
      <w:pPr>
        <w:spacing w:after="0" w:line="240" w:lineRule="auto"/>
        <w:rPr>
          <w:rFonts w:ascii="Arial Narrow" w:hAnsi="Arial Narrow" w:eastAsia="Arial Narrow" w:cs="Arial Narrow"/>
          <w:b/>
          <w:color w:val="000000" w:themeColor="text1"/>
          <w:sz w:val="22"/>
          <w:szCs w:val="22"/>
          <w:u w:color="000000"/>
          <w14:textFill>
            <w14:solidFill>
              <w14:schemeClr w14:val="tx1"/>
            </w14:solidFill>
          </w14:textFill>
        </w:rPr>
      </w:pPr>
      <w:r>
        <w:rPr>
          <w:rFonts w:ascii="Arial Narrow" w:hAnsi="Arial Narrow" w:cs="Arial Unicode MS"/>
          <w:b/>
          <w:color w:val="000000" w:themeColor="text1"/>
          <w:sz w:val="22"/>
          <w:szCs w:val="22"/>
          <w:u w:color="000000"/>
          <w:lang w:val="en-GB"/>
          <w14:textFill>
            <w14:solidFill>
              <w14:schemeClr w14:val="tx1"/>
            </w14:solidFill>
          </w14:textFill>
        </w:rPr>
        <w:t>15. Format</w:t>
      </w:r>
    </w:p>
    <w:p w14:paraId="6A7153AD">
      <w:pPr>
        <w:spacing w:after="0" w:line="240" w:lineRule="auto"/>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All homework assignments (unless otherwise noted) should follow the APA style guidelines.</w:t>
      </w:r>
    </w:p>
    <w:p w14:paraId="18A3F794">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36444AD9">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7334B3E3">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5C2A1598">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5E577E3E">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6C4EF440">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2B99D194">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610B71BC">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036B55B6">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3D4D05EC">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59C1C631">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32085447">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09ACB6D2">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6DECB1BC">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2F8BD2FE">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4768F65B">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2F60C3AA">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46D0D295">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24D99D6B">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7895BB2F">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268F5F56">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45CD5B92">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6B248D51">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7B55F47A">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6FC939B4">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3FDA8FC3">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79D62B64">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116D1711">
      <w:pPr>
        <w:rPr>
          <w:rFonts w:ascii="Arial Narrow" w:hAnsi="Arial Narrow" w:cs="Arial"/>
          <w:b/>
          <w:color w:val="000000" w:themeColor="text1"/>
          <w:sz w:val="22"/>
          <w:szCs w:val="22"/>
          <w14:textFill>
            <w14:solidFill>
              <w14:schemeClr w14:val="tx1"/>
            </w14:solidFill>
          </w14:textFill>
        </w:rPr>
      </w:pPr>
      <w:r>
        <w:rPr>
          <w:rFonts w:ascii="Arial Narrow" w:hAnsi="Arial Narrow" w:cs="Arial"/>
          <w:b/>
          <w:color w:val="000000" w:themeColor="text1"/>
          <w:sz w:val="22"/>
          <w:szCs w:val="22"/>
          <w14:textFill>
            <w14:solidFill>
              <w14:schemeClr w14:val="tx1"/>
            </w14:solidFill>
          </w14:textFill>
        </w:rPr>
        <w:t>16. Class Schedule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2954"/>
        <w:gridCol w:w="2954"/>
      </w:tblGrid>
      <w:tr w14:paraId="7494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0EE25E8A">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Week</w:t>
            </w:r>
          </w:p>
        </w:tc>
        <w:tc>
          <w:tcPr>
            <w:tcW w:w="2954" w:type="dxa"/>
            <w:shd w:val="clear" w:color="auto" w:fill="auto"/>
          </w:tcPr>
          <w:p w14:paraId="1D518909">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Topic</w:t>
            </w:r>
          </w:p>
        </w:tc>
        <w:tc>
          <w:tcPr>
            <w:tcW w:w="2954" w:type="dxa"/>
            <w:shd w:val="clear" w:color="auto" w:fill="auto"/>
          </w:tcPr>
          <w:p w14:paraId="5C02DAE3">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Reading</w:t>
            </w:r>
          </w:p>
        </w:tc>
      </w:tr>
      <w:tr w14:paraId="6A2A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954" w:type="dxa"/>
            <w:shd w:val="clear" w:color="auto" w:fill="auto"/>
          </w:tcPr>
          <w:p w14:paraId="3CE3C525">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1 </w:t>
            </w:r>
            <w:r>
              <w:rPr>
                <w:rFonts w:ascii="Arial Narrow" w:hAnsi="Arial Narrow" w:cs="Arial"/>
                <w:color w:val="000000" w:themeColor="text1"/>
                <w:sz w:val="22"/>
                <w:szCs w:val="22"/>
                <w:u w:val="single"/>
                <w14:textFill>
                  <w14:solidFill>
                    <w14:schemeClr w14:val="tx1"/>
                  </w14:solidFill>
                </w14:textFill>
              </w:rPr>
              <w:t>(August 2</w:t>
            </w:r>
            <w:r>
              <w:rPr>
                <w:rFonts w:hint="default" w:ascii="Arial Narrow" w:hAnsi="Arial Narrow" w:cs="Arial"/>
                <w:color w:val="000000" w:themeColor="text1"/>
                <w:sz w:val="22"/>
                <w:szCs w:val="22"/>
                <w:u w:val="single"/>
                <w:lang w:val="en-US"/>
                <w14:textFill>
                  <w14:solidFill>
                    <w14:schemeClr w14:val="tx1"/>
                  </w14:solidFill>
                </w14:textFill>
              </w:rPr>
              <w:t>0</w:t>
            </w:r>
            <w:r>
              <w:rPr>
                <w:rFonts w:ascii="Arial Narrow" w:hAnsi="Arial Narrow" w:cs="Arial"/>
                <w:color w:val="000000" w:themeColor="text1"/>
                <w:sz w:val="22"/>
                <w:szCs w:val="22"/>
                <w:u w:val="single"/>
                <w14:textFill>
                  <w14:solidFill>
                    <w14:schemeClr w14:val="tx1"/>
                  </w14:solidFill>
                </w14:textFill>
              </w:rPr>
              <w:t>-2</w:t>
            </w:r>
            <w:r>
              <w:rPr>
                <w:rFonts w:hint="default" w:ascii="Arial Narrow" w:hAnsi="Arial Narrow" w:cs="Arial"/>
                <w:color w:val="000000" w:themeColor="text1"/>
                <w:sz w:val="22"/>
                <w:szCs w:val="22"/>
                <w:u w:val="single"/>
                <w:lang w:val="en-US"/>
                <w14:textFill>
                  <w14:solidFill>
                    <w14:schemeClr w14:val="tx1"/>
                  </w14:solidFill>
                </w14:textFill>
              </w:rPr>
              <w:t>2</w:t>
            </w:r>
            <w:r>
              <w:rPr>
                <w:rFonts w:ascii="Arial Narrow" w:hAnsi="Arial Narrow" w:cs="Arial"/>
                <w:color w:val="000000" w:themeColor="text1"/>
                <w:sz w:val="22"/>
                <w:szCs w:val="22"/>
                <w:u w:val="single"/>
                <w14:textFill>
                  <w14:solidFill>
                    <w14:schemeClr w14:val="tx1"/>
                  </w14:solidFill>
                </w14:textFill>
              </w:rPr>
              <w:t>)</w:t>
            </w:r>
          </w:p>
        </w:tc>
        <w:tc>
          <w:tcPr>
            <w:tcW w:w="2954" w:type="dxa"/>
            <w:shd w:val="clear" w:color="auto" w:fill="auto"/>
          </w:tcPr>
          <w:p w14:paraId="1BD7932E">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The public sector as an economic agent</w:t>
            </w:r>
          </w:p>
        </w:tc>
        <w:tc>
          <w:tcPr>
            <w:tcW w:w="2954" w:type="dxa"/>
            <w:shd w:val="clear" w:color="auto" w:fill="auto"/>
          </w:tcPr>
          <w:p w14:paraId="4DE87701">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Stiglitz and Rosengard Chapter 1 </w:t>
            </w:r>
          </w:p>
        </w:tc>
      </w:tr>
      <w:tr w14:paraId="4A179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702B5733">
            <w:pPr>
              <w:rPr>
                <w:rFonts w:ascii="Arial Narrow" w:hAnsi="Arial Narrow" w:cs="Arial"/>
                <w:color w:val="000000" w:themeColor="text1"/>
                <w:sz w:val="22"/>
                <w:szCs w:val="22"/>
                <w:u w:val="single"/>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2 </w:t>
            </w:r>
            <w:r>
              <w:rPr>
                <w:rFonts w:ascii="Arial Narrow" w:hAnsi="Arial Narrow" w:cs="Arial"/>
                <w:color w:val="000000" w:themeColor="text1"/>
                <w:sz w:val="22"/>
                <w:szCs w:val="22"/>
                <w:u w:val="single"/>
                <w14:textFill>
                  <w14:solidFill>
                    <w14:schemeClr w14:val="tx1"/>
                  </w14:solidFill>
                </w14:textFill>
              </w:rPr>
              <w:t>(August 2</w:t>
            </w:r>
            <w:r>
              <w:rPr>
                <w:rFonts w:hint="default" w:ascii="Arial Narrow" w:hAnsi="Arial Narrow" w:cs="Arial"/>
                <w:color w:val="000000" w:themeColor="text1"/>
                <w:sz w:val="22"/>
                <w:szCs w:val="22"/>
                <w:u w:val="single"/>
                <w:lang w:val="en-US"/>
                <w14:textFill>
                  <w14:solidFill>
                    <w14:schemeClr w14:val="tx1"/>
                  </w14:solidFill>
                </w14:textFill>
              </w:rPr>
              <w:t>5</w:t>
            </w:r>
            <w:r>
              <w:rPr>
                <w:rFonts w:ascii="Arial Narrow" w:hAnsi="Arial Narrow" w:cs="Arial"/>
                <w:color w:val="000000" w:themeColor="text1"/>
                <w:sz w:val="22"/>
                <w:szCs w:val="22"/>
                <w:u w:val="single"/>
                <w14:textFill>
                  <w14:solidFill>
                    <w14:schemeClr w14:val="tx1"/>
                  </w14:solidFill>
                </w14:textFill>
              </w:rPr>
              <w:t>-</w:t>
            </w:r>
            <w:r>
              <w:rPr>
                <w:rFonts w:hint="default" w:ascii="Arial Narrow" w:hAnsi="Arial Narrow" w:cs="Arial"/>
                <w:color w:val="000000" w:themeColor="text1"/>
                <w:sz w:val="22"/>
                <w:szCs w:val="22"/>
                <w:u w:val="single"/>
                <w:lang w:val="en-US"/>
                <w14:textFill>
                  <w14:solidFill>
                    <w14:schemeClr w14:val="tx1"/>
                  </w14:solidFill>
                </w14:textFill>
              </w:rPr>
              <w:t>29</w:t>
            </w:r>
            <w:r>
              <w:rPr>
                <w:rFonts w:ascii="Arial Narrow" w:hAnsi="Arial Narrow" w:cs="Arial"/>
                <w:color w:val="000000" w:themeColor="text1"/>
                <w:sz w:val="22"/>
                <w:szCs w:val="22"/>
                <w:u w:val="single"/>
                <w14:textFill>
                  <w14:solidFill>
                    <w14:schemeClr w14:val="tx1"/>
                  </w14:solidFill>
                </w14:textFill>
              </w:rPr>
              <w:t>)</w:t>
            </w:r>
          </w:p>
          <w:p w14:paraId="49BD328B">
            <w:pPr>
              <w:rPr>
                <w:rFonts w:ascii="Arial Narrow" w:hAnsi="Arial Narrow" w:cs="Arial"/>
                <w:b/>
                <w:color w:val="000000" w:themeColor="text1"/>
                <w:sz w:val="22"/>
                <w:szCs w:val="22"/>
                <w14:textFill>
                  <w14:solidFill>
                    <w14:schemeClr w14:val="tx1"/>
                  </w14:solidFill>
                </w14:textFill>
              </w:rPr>
            </w:pPr>
          </w:p>
        </w:tc>
        <w:tc>
          <w:tcPr>
            <w:tcW w:w="2954" w:type="dxa"/>
            <w:shd w:val="clear" w:color="auto" w:fill="auto"/>
          </w:tcPr>
          <w:p w14:paraId="5697B8D0">
            <w:pPr>
              <w:rPr>
                <w:rFonts w:ascii="Arial Narrow" w:hAnsi="Arial Narrow" w:cs="Arial"/>
                <w:b/>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Measuring public sector size; Welfare economics and the role of the public sector</w:t>
            </w:r>
            <w:r>
              <w:rPr>
                <w:rFonts w:ascii="Arial Narrow" w:hAnsi="Arial Narrow" w:cs="Arial"/>
                <w:b/>
                <w:color w:val="000000" w:themeColor="text1"/>
                <w:sz w:val="22"/>
                <w:szCs w:val="22"/>
                <w14:textFill>
                  <w14:solidFill>
                    <w14:schemeClr w14:val="tx1"/>
                  </w14:solidFill>
                </w14:textFill>
              </w:rPr>
              <w:t xml:space="preserve"> </w:t>
            </w:r>
          </w:p>
        </w:tc>
        <w:tc>
          <w:tcPr>
            <w:tcW w:w="2954" w:type="dxa"/>
            <w:shd w:val="clear" w:color="auto" w:fill="auto"/>
          </w:tcPr>
          <w:p w14:paraId="1599D89C">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Stiglitz and Rosengard, Chapter 2 </w:t>
            </w:r>
          </w:p>
        </w:tc>
      </w:tr>
      <w:tr w14:paraId="64D6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0556F4BF">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Week 3 (Sept. </w:t>
            </w:r>
            <w:r>
              <w:rPr>
                <w:rFonts w:hint="default" w:ascii="Arial Narrow" w:hAnsi="Arial Narrow" w:cs="Arial"/>
                <w:color w:val="000000" w:themeColor="text1"/>
                <w:sz w:val="22"/>
                <w:szCs w:val="22"/>
                <w:lang w:val="en-US"/>
                <w14:textFill>
                  <w14:solidFill>
                    <w14:schemeClr w14:val="tx1"/>
                  </w14:solidFill>
                </w14:textFill>
              </w:rPr>
              <w:t>1</w:t>
            </w:r>
            <w:r>
              <w:rPr>
                <w:rFonts w:ascii="Arial Narrow" w:hAnsi="Arial Narrow" w:cs="Arial"/>
                <w:color w:val="000000" w:themeColor="text1"/>
                <w:sz w:val="22"/>
                <w:szCs w:val="22"/>
                <w14:textFill>
                  <w14:solidFill>
                    <w14:schemeClr w14:val="tx1"/>
                  </w14:solidFill>
                </w14:textFill>
              </w:rPr>
              <w:t>-</w:t>
            </w:r>
            <w:r>
              <w:rPr>
                <w:rFonts w:hint="default" w:ascii="Arial Narrow" w:hAnsi="Arial Narrow" w:cs="Arial"/>
                <w:color w:val="000000" w:themeColor="text1"/>
                <w:sz w:val="22"/>
                <w:szCs w:val="22"/>
                <w:lang w:val="en-US"/>
                <w14:textFill>
                  <w14:solidFill>
                    <w14:schemeClr w14:val="tx1"/>
                  </w14:solidFill>
                </w14:textFill>
              </w:rPr>
              <w:t>5</w:t>
            </w:r>
            <w:r>
              <w:rPr>
                <w:rFonts w:ascii="Arial Narrow" w:hAnsi="Arial Narrow" w:cs="Arial"/>
                <w:color w:val="000000" w:themeColor="text1"/>
                <w:sz w:val="22"/>
                <w:szCs w:val="22"/>
                <w14:textFill>
                  <w14:solidFill>
                    <w14:schemeClr w14:val="tx1"/>
                  </w14:solidFill>
                </w14:textFill>
              </w:rPr>
              <w:t>)</w:t>
            </w:r>
          </w:p>
        </w:tc>
        <w:tc>
          <w:tcPr>
            <w:tcW w:w="2954" w:type="dxa"/>
            <w:shd w:val="clear" w:color="auto" w:fill="auto"/>
          </w:tcPr>
          <w:p w14:paraId="1339A8AD">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Market efficiency</w:t>
            </w:r>
          </w:p>
          <w:p w14:paraId="73F7F9A2">
            <w:pPr>
              <w:rPr>
                <w:rFonts w:ascii="Arial Narrow" w:hAnsi="Arial Narrow" w:cs="Arial"/>
                <w:b/>
                <w:i/>
                <w:iCs/>
                <w:color w:val="000000" w:themeColor="text1"/>
                <w:sz w:val="28"/>
                <w:szCs w:val="28"/>
                <w14:textFill>
                  <w14:solidFill>
                    <w14:schemeClr w14:val="tx1"/>
                  </w14:solidFill>
                </w14:textFill>
              </w:rPr>
            </w:pPr>
          </w:p>
        </w:tc>
        <w:tc>
          <w:tcPr>
            <w:tcW w:w="2954" w:type="dxa"/>
            <w:shd w:val="clear" w:color="auto" w:fill="auto"/>
          </w:tcPr>
          <w:p w14:paraId="0B30A92D">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Stiglitz and Rosengard Chapter 3</w:t>
            </w:r>
          </w:p>
        </w:tc>
      </w:tr>
      <w:tr w14:paraId="250F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21132D4B">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Week 4 (Sept. </w:t>
            </w:r>
            <w:r>
              <w:rPr>
                <w:rFonts w:hint="default" w:ascii="Arial Narrow" w:hAnsi="Arial Narrow" w:cs="Arial"/>
                <w:color w:val="000000" w:themeColor="text1"/>
                <w:sz w:val="22"/>
                <w:szCs w:val="22"/>
                <w:lang w:val="en-US"/>
                <w14:textFill>
                  <w14:solidFill>
                    <w14:schemeClr w14:val="tx1"/>
                  </w14:solidFill>
                </w14:textFill>
              </w:rPr>
              <w:t>8</w:t>
            </w:r>
            <w:r>
              <w:rPr>
                <w:rFonts w:ascii="Arial Narrow" w:hAnsi="Arial Narrow" w:cs="Arial"/>
                <w:color w:val="000000" w:themeColor="text1"/>
                <w:sz w:val="22"/>
                <w:szCs w:val="22"/>
                <w14:textFill>
                  <w14:solidFill>
                    <w14:schemeClr w14:val="tx1"/>
                  </w14:solidFill>
                </w14:textFill>
              </w:rPr>
              <w:t>-1</w:t>
            </w:r>
            <w:r>
              <w:rPr>
                <w:rFonts w:hint="default" w:ascii="Arial Narrow" w:hAnsi="Arial Narrow" w:cs="Arial"/>
                <w:color w:val="000000" w:themeColor="text1"/>
                <w:sz w:val="22"/>
                <w:szCs w:val="22"/>
                <w:lang w:val="en-US"/>
                <w14:textFill>
                  <w14:solidFill>
                    <w14:schemeClr w14:val="tx1"/>
                  </w14:solidFill>
                </w14:textFill>
              </w:rPr>
              <w:t>2</w:t>
            </w:r>
            <w:r>
              <w:rPr>
                <w:rFonts w:ascii="Arial Narrow" w:hAnsi="Arial Narrow" w:cs="Arial"/>
                <w:color w:val="000000" w:themeColor="text1"/>
                <w:sz w:val="22"/>
                <w:szCs w:val="22"/>
                <w14:textFill>
                  <w14:solidFill>
                    <w14:schemeClr w14:val="tx1"/>
                  </w14:solidFill>
                </w14:textFill>
              </w:rPr>
              <w:t>)</w:t>
            </w:r>
          </w:p>
        </w:tc>
        <w:tc>
          <w:tcPr>
            <w:tcW w:w="2954" w:type="dxa"/>
            <w:shd w:val="clear" w:color="auto" w:fill="auto"/>
          </w:tcPr>
          <w:p w14:paraId="5D582C80">
            <w:pPr>
              <w:rPr>
                <w:rFonts w:ascii="Arial Narrow" w:hAnsi="Arial Narrow" w:cs="Arial"/>
                <w:color w:val="000000" w:themeColor="text1"/>
                <w:sz w:val="22"/>
                <w:szCs w:val="22"/>
                <w14:textFill>
                  <w14:solidFill>
                    <w14:schemeClr w14:val="tx1"/>
                  </w14:solidFill>
                </w14:textFill>
              </w:rPr>
            </w:pPr>
          </w:p>
          <w:p w14:paraId="77BD4EAA">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Market efficiency</w:t>
            </w:r>
          </w:p>
        </w:tc>
        <w:tc>
          <w:tcPr>
            <w:tcW w:w="2954" w:type="dxa"/>
            <w:shd w:val="clear" w:color="auto" w:fill="auto"/>
          </w:tcPr>
          <w:p w14:paraId="347FC758">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Stiglitz and Rosengard, Chapter 3 </w:t>
            </w:r>
          </w:p>
        </w:tc>
      </w:tr>
      <w:tr w14:paraId="4291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579FE198">
            <w:pPr>
              <w:rPr>
                <w:rFonts w:ascii="Arial Narrow" w:hAnsi="Arial Narrow" w:cs="Arial"/>
                <w:color w:val="000000" w:themeColor="text1"/>
                <w:sz w:val="22"/>
                <w:szCs w:val="22"/>
                <w:u w:val="single"/>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Week 5 </w:t>
            </w:r>
            <w:r>
              <w:rPr>
                <w:rFonts w:ascii="Arial Narrow" w:hAnsi="Arial Narrow" w:cs="Arial"/>
                <w:color w:val="000000" w:themeColor="text1"/>
                <w:sz w:val="22"/>
                <w:szCs w:val="22"/>
                <w:u w:val="single"/>
                <w14:textFill>
                  <w14:solidFill>
                    <w14:schemeClr w14:val="tx1"/>
                  </w14:solidFill>
                </w14:textFill>
              </w:rPr>
              <w:t>(Sept. 1</w:t>
            </w:r>
            <w:r>
              <w:rPr>
                <w:rFonts w:hint="default" w:ascii="Arial Narrow" w:hAnsi="Arial Narrow" w:cs="Arial"/>
                <w:color w:val="000000" w:themeColor="text1"/>
                <w:sz w:val="22"/>
                <w:szCs w:val="22"/>
                <w:u w:val="single"/>
                <w:lang w:val="en-US"/>
                <w14:textFill>
                  <w14:solidFill>
                    <w14:schemeClr w14:val="tx1"/>
                  </w14:solidFill>
                </w14:textFill>
              </w:rPr>
              <w:t>5</w:t>
            </w:r>
            <w:r>
              <w:rPr>
                <w:rFonts w:ascii="Arial Narrow" w:hAnsi="Arial Narrow" w:cs="Arial"/>
                <w:color w:val="000000" w:themeColor="text1"/>
                <w:sz w:val="22"/>
                <w:szCs w:val="22"/>
                <w:u w:val="single"/>
                <w14:textFill>
                  <w14:solidFill>
                    <w14:schemeClr w14:val="tx1"/>
                  </w14:solidFill>
                </w14:textFill>
              </w:rPr>
              <w:t>-</w:t>
            </w:r>
            <w:r>
              <w:rPr>
                <w:rFonts w:hint="default" w:ascii="Arial Narrow" w:hAnsi="Arial Narrow" w:cs="Arial"/>
                <w:color w:val="000000" w:themeColor="text1"/>
                <w:sz w:val="22"/>
                <w:szCs w:val="22"/>
                <w:u w:val="single"/>
                <w:lang w:val="en-US"/>
                <w14:textFill>
                  <w14:solidFill>
                    <w14:schemeClr w14:val="tx1"/>
                  </w14:solidFill>
                </w14:textFill>
              </w:rPr>
              <w:t>19</w:t>
            </w:r>
            <w:r>
              <w:rPr>
                <w:rFonts w:ascii="Arial Narrow" w:hAnsi="Arial Narrow" w:cs="Arial"/>
                <w:color w:val="000000" w:themeColor="text1"/>
                <w:sz w:val="22"/>
                <w:szCs w:val="22"/>
                <w:u w:val="single"/>
                <w14:textFill>
                  <w14:solidFill>
                    <w14:schemeClr w14:val="tx1"/>
                  </w14:solidFill>
                </w14:textFill>
              </w:rPr>
              <w:t>)</w:t>
            </w:r>
          </w:p>
          <w:p w14:paraId="2B9E7417">
            <w:pPr>
              <w:rPr>
                <w:rFonts w:ascii="Arial Narrow" w:hAnsi="Arial Narrow" w:cs="Arial"/>
                <w:b/>
                <w:color w:val="000000" w:themeColor="text1"/>
                <w:sz w:val="22"/>
                <w:szCs w:val="22"/>
                <w14:textFill>
                  <w14:solidFill>
                    <w14:schemeClr w14:val="tx1"/>
                  </w14:solidFill>
                </w14:textFill>
              </w:rPr>
            </w:pPr>
          </w:p>
        </w:tc>
        <w:tc>
          <w:tcPr>
            <w:tcW w:w="2954" w:type="dxa"/>
            <w:shd w:val="clear" w:color="auto" w:fill="auto"/>
          </w:tcPr>
          <w:p w14:paraId="51345AF8">
            <w:pPr>
              <w:rPr>
                <w:rFonts w:ascii="Arial Narrow" w:hAnsi="Arial Narrow" w:cs="Arial"/>
                <w:color w:val="000000" w:themeColor="text1"/>
                <w:sz w:val="22"/>
                <w:szCs w:val="22"/>
                <w14:textFill>
                  <w14:solidFill>
                    <w14:schemeClr w14:val="tx1"/>
                  </w14:solidFill>
                </w14:textFill>
              </w:rPr>
            </w:pPr>
            <w:r>
              <w:rPr>
                <w:rFonts w:hint="default" w:ascii="Arial Narrow" w:hAnsi="Arial Narrow" w:cs="Arial"/>
                <w:b/>
                <w:i/>
                <w:iCs/>
                <w:color w:val="000000" w:themeColor="text1"/>
                <w:sz w:val="24"/>
                <w:szCs w:val="24"/>
                <w:lang w:val="en-US"/>
                <w14:textFill>
                  <w14:solidFill>
                    <w14:schemeClr w14:val="tx1"/>
                  </w14:solidFill>
                </w14:textFill>
              </w:rPr>
              <w:t xml:space="preserve">Midterm Assessment </w:t>
            </w:r>
            <w:r>
              <w:rPr>
                <w:rFonts w:ascii="Arial Narrow" w:hAnsi="Arial Narrow" w:cs="Arial"/>
                <w:b/>
                <w:i/>
                <w:iCs/>
                <w:color w:val="000000" w:themeColor="text1"/>
                <w:sz w:val="24"/>
                <w:szCs w:val="24"/>
                <w14:textFill>
                  <w14:solidFill>
                    <w14:schemeClr w14:val="tx1"/>
                  </w14:solidFill>
                </w14:textFill>
              </w:rPr>
              <w:t>1 (Sept. 1</w:t>
            </w:r>
            <w:r>
              <w:rPr>
                <w:rFonts w:hint="default" w:ascii="Arial Narrow" w:hAnsi="Arial Narrow" w:cs="Arial"/>
                <w:b/>
                <w:i/>
                <w:iCs/>
                <w:color w:val="000000" w:themeColor="text1"/>
                <w:sz w:val="24"/>
                <w:szCs w:val="24"/>
                <w:lang w:val="en-US"/>
                <w14:textFill>
                  <w14:solidFill>
                    <w14:schemeClr w14:val="tx1"/>
                  </w14:solidFill>
                </w14:textFill>
              </w:rPr>
              <w:t>7th</w:t>
            </w:r>
            <w:r>
              <w:rPr>
                <w:rFonts w:ascii="Arial Narrow" w:hAnsi="Arial Narrow" w:cs="Arial"/>
                <w:b/>
                <w:i/>
                <w:iCs/>
                <w:color w:val="000000" w:themeColor="text1"/>
                <w:sz w:val="28"/>
                <w:szCs w:val="28"/>
                <w14:textFill>
                  <w14:solidFill>
                    <w14:schemeClr w14:val="tx1"/>
                  </w14:solidFill>
                </w14:textFill>
              </w:rPr>
              <w:t>)</w:t>
            </w:r>
          </w:p>
          <w:p w14:paraId="78D85119">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Market efficiency</w:t>
            </w:r>
          </w:p>
          <w:p w14:paraId="1DAC1582">
            <w:pPr>
              <w:rPr>
                <w:rFonts w:ascii="Arial Narrow" w:hAnsi="Arial Narrow" w:cs="Arial"/>
                <w:b/>
                <w:color w:val="000000" w:themeColor="text1"/>
                <w:sz w:val="22"/>
                <w:szCs w:val="22"/>
                <w14:textFill>
                  <w14:solidFill>
                    <w14:schemeClr w14:val="tx1"/>
                  </w14:solidFill>
                </w14:textFill>
              </w:rPr>
            </w:pPr>
          </w:p>
        </w:tc>
        <w:tc>
          <w:tcPr>
            <w:tcW w:w="2954" w:type="dxa"/>
            <w:shd w:val="clear" w:color="auto" w:fill="auto"/>
          </w:tcPr>
          <w:p w14:paraId="6DC1E594">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Stiglitz and Rosengard, Chapter 3</w:t>
            </w:r>
          </w:p>
        </w:tc>
      </w:tr>
      <w:tr w14:paraId="069C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5CF54D6D">
            <w:pPr>
              <w:rPr>
                <w:rFonts w:ascii="Arial Narrow" w:hAnsi="Arial Narrow" w:cs="Arial"/>
                <w:bCs/>
                <w:color w:val="000000" w:themeColor="text1"/>
                <w:sz w:val="22"/>
                <w:szCs w:val="22"/>
                <w:u w:val="single"/>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Week 6 </w:t>
            </w:r>
            <w:r>
              <w:rPr>
                <w:rFonts w:ascii="Arial Narrow" w:hAnsi="Arial Narrow" w:cs="Arial"/>
                <w:bCs/>
                <w:color w:val="000000" w:themeColor="text1"/>
                <w:sz w:val="22"/>
                <w:szCs w:val="22"/>
                <w:u w:val="single"/>
                <w14:textFill>
                  <w14:solidFill>
                    <w14:schemeClr w14:val="tx1"/>
                  </w14:solidFill>
                </w14:textFill>
              </w:rPr>
              <w:t>(Sept. 2</w:t>
            </w:r>
            <w:r>
              <w:rPr>
                <w:rFonts w:hint="default" w:ascii="Arial Narrow" w:hAnsi="Arial Narrow" w:cs="Arial"/>
                <w:bCs/>
                <w:color w:val="000000" w:themeColor="text1"/>
                <w:sz w:val="22"/>
                <w:szCs w:val="22"/>
                <w:u w:val="single"/>
                <w:lang w:val="en-US"/>
                <w14:textFill>
                  <w14:solidFill>
                    <w14:schemeClr w14:val="tx1"/>
                  </w14:solidFill>
                </w14:textFill>
              </w:rPr>
              <w:t>2</w:t>
            </w:r>
            <w:r>
              <w:rPr>
                <w:rFonts w:ascii="Arial Narrow" w:hAnsi="Arial Narrow" w:cs="Arial"/>
                <w:bCs/>
                <w:color w:val="000000" w:themeColor="text1"/>
                <w:sz w:val="22"/>
                <w:szCs w:val="22"/>
                <w:u w:val="single"/>
                <w14:textFill>
                  <w14:solidFill>
                    <w14:schemeClr w14:val="tx1"/>
                  </w14:solidFill>
                </w14:textFill>
              </w:rPr>
              <w:t>-2</w:t>
            </w:r>
            <w:r>
              <w:rPr>
                <w:rFonts w:hint="default" w:ascii="Arial Narrow" w:hAnsi="Arial Narrow" w:cs="Arial"/>
                <w:bCs/>
                <w:color w:val="000000" w:themeColor="text1"/>
                <w:sz w:val="22"/>
                <w:szCs w:val="22"/>
                <w:u w:val="single"/>
                <w:lang w:val="en-US"/>
                <w14:textFill>
                  <w14:solidFill>
                    <w14:schemeClr w14:val="tx1"/>
                  </w14:solidFill>
                </w14:textFill>
              </w:rPr>
              <w:t>6</w:t>
            </w:r>
            <w:r>
              <w:rPr>
                <w:rFonts w:ascii="Arial Narrow" w:hAnsi="Arial Narrow" w:cs="Arial"/>
                <w:bCs/>
                <w:color w:val="000000" w:themeColor="text1"/>
                <w:sz w:val="22"/>
                <w:szCs w:val="22"/>
                <w:u w:val="single"/>
                <w14:textFill>
                  <w14:solidFill>
                    <w14:schemeClr w14:val="tx1"/>
                  </w14:solidFill>
                </w14:textFill>
              </w:rPr>
              <w:t>)</w:t>
            </w:r>
          </w:p>
          <w:p w14:paraId="52A2C82E">
            <w:pPr>
              <w:rPr>
                <w:rFonts w:ascii="Arial Narrow" w:hAnsi="Arial Narrow" w:cs="Arial"/>
                <w:b/>
                <w:color w:val="000000" w:themeColor="text1"/>
                <w:sz w:val="22"/>
                <w:szCs w:val="22"/>
                <w14:textFill>
                  <w14:solidFill>
                    <w14:schemeClr w14:val="tx1"/>
                  </w14:solidFill>
                </w14:textFill>
              </w:rPr>
            </w:pPr>
          </w:p>
        </w:tc>
        <w:tc>
          <w:tcPr>
            <w:tcW w:w="2954" w:type="dxa"/>
            <w:shd w:val="clear" w:color="auto" w:fill="auto"/>
          </w:tcPr>
          <w:p w14:paraId="0A6AA902">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Market failure</w:t>
            </w:r>
          </w:p>
          <w:p w14:paraId="797454AA">
            <w:pPr>
              <w:rPr>
                <w:rFonts w:ascii="Arial Narrow" w:hAnsi="Arial Narrow" w:cs="Arial"/>
                <w:color w:val="000000" w:themeColor="text1"/>
                <w:sz w:val="22"/>
                <w:szCs w:val="22"/>
                <w14:textFill>
                  <w14:solidFill>
                    <w14:schemeClr w14:val="tx1"/>
                  </w14:solidFill>
                </w14:textFill>
              </w:rPr>
            </w:pPr>
          </w:p>
          <w:p w14:paraId="49E65FBB">
            <w:pPr>
              <w:rPr>
                <w:rFonts w:ascii="Arial Narrow" w:hAnsi="Arial Narrow" w:cs="Arial"/>
                <w:b/>
                <w:i/>
                <w:iCs/>
                <w:color w:val="000000" w:themeColor="text1"/>
                <w:sz w:val="28"/>
                <w:szCs w:val="28"/>
                <w14:textFill>
                  <w14:solidFill>
                    <w14:schemeClr w14:val="tx1"/>
                  </w14:solidFill>
                </w14:textFill>
              </w:rPr>
            </w:pPr>
          </w:p>
        </w:tc>
        <w:tc>
          <w:tcPr>
            <w:tcW w:w="2954" w:type="dxa"/>
            <w:shd w:val="clear" w:color="auto" w:fill="auto"/>
          </w:tcPr>
          <w:p w14:paraId="25F36CAA">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Stiglitz and Rosengard, Chapter 4</w:t>
            </w:r>
          </w:p>
        </w:tc>
      </w:tr>
      <w:tr w14:paraId="7986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3DE1E1E7">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Week 7 (Sept. 30-Oct. 4)</w:t>
            </w:r>
          </w:p>
        </w:tc>
        <w:tc>
          <w:tcPr>
            <w:tcW w:w="2954" w:type="dxa"/>
            <w:shd w:val="clear" w:color="auto" w:fill="auto"/>
          </w:tcPr>
          <w:p w14:paraId="0057B94D">
            <w:pPr>
              <w:rPr>
                <w:rFonts w:ascii="Arial Narrow" w:hAnsi="Arial Narrow" w:cs="Arial"/>
                <w:bCs/>
                <w:color w:val="000000" w:themeColor="text1"/>
                <w:sz w:val="22"/>
                <w:szCs w:val="22"/>
                <w14:textFill>
                  <w14:solidFill>
                    <w14:schemeClr w14:val="tx1"/>
                  </w14:solidFill>
                </w14:textFill>
              </w:rPr>
            </w:pPr>
            <w:r>
              <w:rPr>
                <w:rFonts w:ascii="Arial Narrow" w:hAnsi="Arial Narrow" w:cs="Arial"/>
                <w:bCs/>
                <w:color w:val="000000" w:themeColor="text1"/>
                <w:sz w:val="22"/>
                <w:szCs w:val="22"/>
                <w14:textFill>
                  <w14:solidFill>
                    <w14:schemeClr w14:val="tx1"/>
                  </w14:solidFill>
                </w14:textFill>
              </w:rPr>
              <w:t>Market failure</w:t>
            </w:r>
          </w:p>
          <w:p w14:paraId="4A9E02A0">
            <w:pPr>
              <w:rPr>
                <w:rFonts w:ascii="Arial Narrow" w:hAnsi="Arial Narrow" w:cs="Arial"/>
                <w:bCs/>
                <w:color w:val="000000" w:themeColor="text1"/>
                <w:sz w:val="22"/>
                <w:szCs w:val="22"/>
                <w14:textFill>
                  <w14:solidFill>
                    <w14:schemeClr w14:val="tx1"/>
                  </w14:solidFill>
                </w14:textFill>
              </w:rPr>
            </w:pPr>
          </w:p>
          <w:p w14:paraId="04080604">
            <w:pPr>
              <w:rPr>
                <w:rFonts w:ascii="Arial Narrow" w:hAnsi="Arial Narrow" w:cs="Arial"/>
                <w:b/>
                <w:color w:val="000000" w:themeColor="text1"/>
                <w:sz w:val="22"/>
                <w:szCs w:val="22"/>
                <w14:textFill>
                  <w14:solidFill>
                    <w14:schemeClr w14:val="tx1"/>
                  </w14:solidFill>
                </w14:textFill>
              </w:rPr>
            </w:pPr>
            <w:r>
              <w:rPr>
                <w:rFonts w:hint="default" w:ascii="Arial Narrow" w:hAnsi="Arial Narrow" w:cs="Arial"/>
                <w:b/>
                <w:color w:val="000000" w:themeColor="text1"/>
                <w:sz w:val="22"/>
                <w:szCs w:val="22"/>
                <w:lang w:val="en-US"/>
                <w14:textFill>
                  <w14:solidFill>
                    <w14:schemeClr w14:val="tx1"/>
                  </w14:solidFill>
                </w14:textFill>
              </w:rPr>
              <w:t>F</w:t>
            </w:r>
            <w:r>
              <w:rPr>
                <w:rFonts w:ascii="Arial Narrow" w:hAnsi="Arial Narrow" w:cs="Arial"/>
                <w:b/>
                <w:color w:val="000000" w:themeColor="text1"/>
                <w:sz w:val="22"/>
                <w:szCs w:val="22"/>
                <w14:textFill>
                  <w14:solidFill>
                    <w14:schemeClr w14:val="tx1"/>
                  </w14:solidFill>
                </w14:textFill>
              </w:rPr>
              <w:t>irst Midterm Scores</w:t>
            </w:r>
            <w:r>
              <w:rPr>
                <w:rFonts w:hint="default" w:ascii="Arial Narrow" w:hAnsi="Arial Narrow" w:cs="Arial"/>
                <w:b/>
                <w:color w:val="000000" w:themeColor="text1"/>
                <w:sz w:val="22"/>
                <w:szCs w:val="22"/>
                <w:lang w:val="en-US"/>
                <w14:textFill>
                  <w14:solidFill>
                    <w14:schemeClr w14:val="tx1"/>
                  </w14:solidFill>
                </w14:textFill>
              </w:rPr>
              <w:t xml:space="preserve"> Submission,</w:t>
            </w:r>
            <w:r>
              <w:rPr>
                <w:rFonts w:ascii="Arial Narrow" w:hAnsi="Arial Narrow" w:cs="Arial"/>
                <w:b/>
                <w:color w:val="000000" w:themeColor="text1"/>
                <w:sz w:val="22"/>
                <w:szCs w:val="22"/>
                <w14:textFill>
                  <w14:solidFill>
                    <w14:schemeClr w14:val="tx1"/>
                  </w14:solidFill>
                </w14:textFill>
              </w:rPr>
              <w:t xml:space="preserve"> Due  in Registrar’s Office</w:t>
            </w:r>
          </w:p>
          <w:p w14:paraId="4D39D913">
            <w:pPr>
              <w:rPr>
                <w:rFonts w:hint="default" w:ascii="Arial Narrow" w:hAnsi="Arial Narrow" w:cs="Arial"/>
                <w:b/>
                <w:color w:val="000000" w:themeColor="text1"/>
                <w:sz w:val="22"/>
                <w:szCs w:val="22"/>
                <w:lang w:val="en-US"/>
                <w14:textFill>
                  <w14:solidFill>
                    <w14:schemeClr w14:val="tx1"/>
                  </w14:solidFill>
                </w14:textFill>
              </w:rPr>
            </w:pPr>
            <w:r>
              <w:rPr>
                <w:rFonts w:hint="default" w:ascii="Arial Narrow" w:hAnsi="Arial Narrow" w:cs="Arial"/>
                <w:b/>
                <w:color w:val="000000" w:themeColor="text1"/>
                <w:sz w:val="22"/>
                <w:szCs w:val="22"/>
                <w:lang w:val="en-US"/>
                <w14:textFill>
                  <w14:solidFill>
                    <w14:schemeClr w14:val="tx1"/>
                  </w14:solidFill>
                </w14:textFill>
              </w:rPr>
              <w:t>Sept. 29-Oct. 6</w:t>
            </w:r>
          </w:p>
          <w:p w14:paraId="1367FA37">
            <w:pPr>
              <w:rPr>
                <w:rFonts w:ascii="Arial Narrow" w:hAnsi="Arial Narrow" w:cs="Arial"/>
                <w:bCs/>
                <w:color w:val="000000" w:themeColor="text1"/>
                <w:sz w:val="22"/>
                <w:szCs w:val="22"/>
                <w14:textFill>
                  <w14:solidFill>
                    <w14:schemeClr w14:val="tx1"/>
                  </w14:solidFill>
                </w14:textFill>
              </w:rPr>
            </w:pPr>
          </w:p>
          <w:p w14:paraId="1DA4343C">
            <w:pPr>
              <w:rPr>
                <w:rFonts w:ascii="Arial Narrow" w:hAnsi="Arial Narrow" w:cs="Arial"/>
                <w:bCs/>
                <w:color w:val="000000" w:themeColor="text1"/>
                <w:sz w:val="22"/>
                <w:szCs w:val="22"/>
                <w14:textFill>
                  <w14:solidFill>
                    <w14:schemeClr w14:val="tx1"/>
                  </w14:solidFill>
                </w14:textFill>
              </w:rPr>
            </w:pPr>
          </w:p>
        </w:tc>
        <w:tc>
          <w:tcPr>
            <w:tcW w:w="2954" w:type="dxa"/>
            <w:shd w:val="clear" w:color="auto" w:fill="auto"/>
          </w:tcPr>
          <w:p w14:paraId="3F74A90E">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Stiglitz and Rosengard, Chapter 4  </w:t>
            </w:r>
          </w:p>
        </w:tc>
      </w:tr>
      <w:tr w14:paraId="0D38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3069A1F9">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Week 8 (Oct. </w:t>
            </w:r>
            <w:r>
              <w:rPr>
                <w:rFonts w:hint="default" w:ascii="Arial Narrow" w:hAnsi="Arial Narrow" w:cs="Arial"/>
                <w:color w:val="000000" w:themeColor="text1"/>
                <w:sz w:val="22"/>
                <w:szCs w:val="22"/>
                <w:lang w:val="en-US"/>
                <w14:textFill>
                  <w14:solidFill>
                    <w14:schemeClr w14:val="tx1"/>
                  </w14:solidFill>
                </w14:textFill>
              </w:rPr>
              <w:t>6</w:t>
            </w:r>
            <w:r>
              <w:rPr>
                <w:rFonts w:ascii="Arial Narrow" w:hAnsi="Arial Narrow" w:cs="Arial"/>
                <w:color w:val="000000" w:themeColor="text1"/>
                <w:sz w:val="22"/>
                <w:szCs w:val="22"/>
                <w14:textFill>
                  <w14:solidFill>
                    <w14:schemeClr w14:val="tx1"/>
                  </w14:solidFill>
                </w14:textFill>
              </w:rPr>
              <w:t>-1</w:t>
            </w:r>
            <w:r>
              <w:rPr>
                <w:rFonts w:hint="default" w:ascii="Arial Narrow" w:hAnsi="Arial Narrow" w:cs="Arial"/>
                <w:color w:val="000000" w:themeColor="text1"/>
                <w:sz w:val="22"/>
                <w:szCs w:val="22"/>
                <w:lang w:val="en-US"/>
                <w14:textFill>
                  <w14:solidFill>
                    <w14:schemeClr w14:val="tx1"/>
                  </w14:solidFill>
                </w14:textFill>
              </w:rPr>
              <w:t>2</w:t>
            </w:r>
            <w:r>
              <w:rPr>
                <w:rFonts w:ascii="Arial Narrow" w:hAnsi="Arial Narrow" w:cs="Arial"/>
                <w:color w:val="000000" w:themeColor="text1"/>
                <w:sz w:val="22"/>
                <w:szCs w:val="22"/>
                <w14:textFill>
                  <w14:solidFill>
                    <w14:schemeClr w14:val="tx1"/>
                  </w14:solidFill>
                </w14:textFill>
              </w:rPr>
              <w:t>)</w:t>
            </w:r>
          </w:p>
        </w:tc>
        <w:tc>
          <w:tcPr>
            <w:tcW w:w="2954" w:type="dxa"/>
            <w:shd w:val="clear" w:color="auto" w:fill="auto"/>
          </w:tcPr>
          <w:p w14:paraId="5F778B92">
            <w:pPr>
              <w:rPr>
                <w:rFonts w:ascii="Arial Narrow" w:hAnsi="Arial Narrow" w:cs="Arial"/>
                <w:bCs/>
                <w:color w:val="000000" w:themeColor="text1"/>
                <w:sz w:val="22"/>
                <w:szCs w:val="22"/>
                <w14:textFill>
                  <w14:solidFill>
                    <w14:schemeClr w14:val="tx1"/>
                  </w14:solidFill>
                </w14:textFill>
              </w:rPr>
            </w:pPr>
            <w:r>
              <w:rPr>
                <w:rFonts w:ascii="Arial Narrow" w:hAnsi="Arial Narrow" w:cs="Arial"/>
                <w:b/>
                <w:bCs/>
                <w:i/>
                <w:iCs/>
                <w:color w:val="000000" w:themeColor="text1"/>
                <w:sz w:val="24"/>
                <w:szCs w:val="24"/>
                <w14:textFill>
                  <w14:solidFill>
                    <w14:schemeClr w14:val="tx1"/>
                  </w14:solidFill>
                </w14:textFill>
              </w:rPr>
              <w:t xml:space="preserve">Midterm Break (Oct. </w:t>
            </w:r>
            <w:r>
              <w:rPr>
                <w:rFonts w:hint="default" w:ascii="Arial Narrow" w:hAnsi="Arial Narrow" w:cs="Arial"/>
                <w:b/>
                <w:bCs/>
                <w:i/>
                <w:iCs/>
                <w:color w:val="000000" w:themeColor="text1"/>
                <w:sz w:val="24"/>
                <w:szCs w:val="24"/>
                <w:lang w:val="en-US"/>
                <w14:textFill>
                  <w14:solidFill>
                    <w14:schemeClr w14:val="tx1"/>
                  </w14:solidFill>
                </w14:textFill>
              </w:rPr>
              <w:t>6</w:t>
            </w:r>
            <w:r>
              <w:rPr>
                <w:rFonts w:ascii="Arial Narrow" w:hAnsi="Arial Narrow" w:cs="Arial"/>
                <w:b/>
                <w:bCs/>
                <w:i/>
                <w:iCs/>
                <w:color w:val="000000" w:themeColor="text1"/>
                <w:sz w:val="24"/>
                <w:szCs w:val="24"/>
                <w14:textFill>
                  <w14:solidFill>
                    <w14:schemeClr w14:val="tx1"/>
                  </w14:solidFill>
                </w14:textFill>
              </w:rPr>
              <w:t>-1</w:t>
            </w:r>
            <w:r>
              <w:rPr>
                <w:rFonts w:hint="default" w:ascii="Arial Narrow" w:hAnsi="Arial Narrow" w:cs="Arial"/>
                <w:b/>
                <w:bCs/>
                <w:i/>
                <w:iCs/>
                <w:color w:val="000000" w:themeColor="text1"/>
                <w:sz w:val="24"/>
                <w:szCs w:val="24"/>
                <w:lang w:val="en-US"/>
                <w14:textFill>
                  <w14:solidFill>
                    <w14:schemeClr w14:val="tx1"/>
                  </w14:solidFill>
                </w14:textFill>
              </w:rPr>
              <w:t>2</w:t>
            </w:r>
            <w:r>
              <w:rPr>
                <w:rFonts w:ascii="Arial Narrow" w:hAnsi="Arial Narrow" w:cs="Arial"/>
                <w:b/>
                <w:bCs/>
                <w:i/>
                <w:iCs/>
                <w:color w:val="000000" w:themeColor="text1"/>
                <w:sz w:val="24"/>
                <w:szCs w:val="24"/>
                <w14:textFill>
                  <w14:solidFill>
                    <w14:schemeClr w14:val="tx1"/>
                  </w14:solidFill>
                </w14:textFill>
              </w:rPr>
              <w:t>)</w:t>
            </w:r>
          </w:p>
        </w:tc>
        <w:tc>
          <w:tcPr>
            <w:tcW w:w="2954" w:type="dxa"/>
            <w:shd w:val="clear" w:color="auto" w:fill="auto"/>
          </w:tcPr>
          <w:p w14:paraId="08325023">
            <w:pPr>
              <w:rPr>
                <w:rFonts w:ascii="Arial Narrow" w:hAnsi="Arial Narrow" w:cs="Arial"/>
                <w:color w:val="000000" w:themeColor="text1"/>
                <w:sz w:val="22"/>
                <w:szCs w:val="22"/>
                <w14:textFill>
                  <w14:solidFill>
                    <w14:schemeClr w14:val="tx1"/>
                  </w14:solidFill>
                </w14:textFill>
              </w:rPr>
            </w:pPr>
          </w:p>
        </w:tc>
      </w:tr>
      <w:tr w14:paraId="149D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7BD8F2FA">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Week 9 </w:t>
            </w:r>
            <w:r>
              <w:rPr>
                <w:rFonts w:ascii="Arial Narrow" w:hAnsi="Arial Narrow" w:cs="Arial"/>
                <w:color w:val="000000" w:themeColor="text1"/>
                <w:sz w:val="22"/>
                <w:szCs w:val="22"/>
                <w:u w:val="single"/>
                <w14:textFill>
                  <w14:solidFill>
                    <w14:schemeClr w14:val="tx1"/>
                  </w14:solidFill>
                </w14:textFill>
              </w:rPr>
              <w:t>(Oct. 1</w:t>
            </w:r>
            <w:r>
              <w:rPr>
                <w:rFonts w:hint="default" w:ascii="Arial Narrow" w:hAnsi="Arial Narrow" w:cs="Arial"/>
                <w:color w:val="000000" w:themeColor="text1"/>
                <w:sz w:val="22"/>
                <w:szCs w:val="22"/>
                <w:u w:val="single"/>
                <w:lang w:val="en-US"/>
                <w14:textFill>
                  <w14:solidFill>
                    <w14:schemeClr w14:val="tx1"/>
                  </w14:solidFill>
                </w14:textFill>
              </w:rPr>
              <w:t>3</w:t>
            </w:r>
            <w:r>
              <w:rPr>
                <w:rFonts w:ascii="Arial Narrow" w:hAnsi="Arial Narrow" w:cs="Arial"/>
                <w:color w:val="000000" w:themeColor="text1"/>
                <w:sz w:val="22"/>
                <w:szCs w:val="22"/>
                <w:u w:val="single"/>
                <w14:textFill>
                  <w14:solidFill>
                    <w14:schemeClr w14:val="tx1"/>
                  </w14:solidFill>
                </w14:textFill>
              </w:rPr>
              <w:t>-1</w:t>
            </w:r>
            <w:r>
              <w:rPr>
                <w:rFonts w:hint="default" w:ascii="Arial Narrow" w:hAnsi="Arial Narrow" w:cs="Arial"/>
                <w:color w:val="000000" w:themeColor="text1"/>
                <w:sz w:val="22"/>
                <w:szCs w:val="22"/>
                <w:u w:val="single"/>
                <w:lang w:val="en-US"/>
                <w14:textFill>
                  <w14:solidFill>
                    <w14:schemeClr w14:val="tx1"/>
                  </w14:solidFill>
                </w14:textFill>
              </w:rPr>
              <w:t>7</w:t>
            </w:r>
            <w:r>
              <w:rPr>
                <w:rFonts w:ascii="Arial Narrow" w:hAnsi="Arial Narrow" w:cs="Arial"/>
                <w:color w:val="000000" w:themeColor="text1"/>
                <w:sz w:val="22"/>
                <w:szCs w:val="22"/>
                <w:u w:val="single"/>
                <w14:textFill>
                  <w14:solidFill>
                    <w14:schemeClr w14:val="tx1"/>
                  </w14:solidFill>
                </w14:textFill>
              </w:rPr>
              <w:t>)</w:t>
            </w:r>
          </w:p>
        </w:tc>
        <w:tc>
          <w:tcPr>
            <w:tcW w:w="2954" w:type="dxa"/>
            <w:shd w:val="clear" w:color="auto" w:fill="auto"/>
          </w:tcPr>
          <w:p w14:paraId="4CEE6585">
            <w:pPr>
              <w:rPr>
                <w:rFonts w:ascii="Arial Narrow" w:hAnsi="Arial Narrow" w:cs="Arial"/>
                <w:b/>
                <w:color w:val="000000" w:themeColor="text1"/>
                <w:sz w:val="22"/>
                <w:szCs w:val="22"/>
                <w14:textFill>
                  <w14:solidFill>
                    <w14:schemeClr w14:val="tx1"/>
                  </w14:solidFill>
                </w14:textFill>
              </w:rPr>
            </w:pPr>
            <w:r>
              <w:rPr>
                <w:rFonts w:ascii="Arial Narrow" w:hAnsi="Arial Narrow" w:cs="Arial"/>
                <w:bCs/>
                <w:color w:val="000000" w:themeColor="text1"/>
                <w:sz w:val="22"/>
                <w:szCs w:val="22"/>
                <w14:textFill>
                  <w14:solidFill>
                    <w14:schemeClr w14:val="tx1"/>
                  </w14:solidFill>
                </w14:textFill>
              </w:rPr>
              <w:t>Market failure</w:t>
            </w:r>
          </w:p>
        </w:tc>
        <w:tc>
          <w:tcPr>
            <w:tcW w:w="2954" w:type="dxa"/>
            <w:shd w:val="clear" w:color="auto" w:fill="auto"/>
          </w:tcPr>
          <w:p w14:paraId="70B96D2A">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Stiglitz and Rosengard, Chapter 4</w:t>
            </w:r>
          </w:p>
        </w:tc>
      </w:tr>
      <w:tr w14:paraId="788A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06BD06ED">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Week 10 (Oct. 2</w:t>
            </w:r>
            <w:r>
              <w:rPr>
                <w:rFonts w:hint="default" w:ascii="Arial Narrow" w:hAnsi="Arial Narrow" w:cs="Arial"/>
                <w:color w:val="000000" w:themeColor="text1"/>
                <w:sz w:val="22"/>
                <w:szCs w:val="22"/>
                <w:lang w:val="en-US"/>
                <w14:textFill>
                  <w14:solidFill>
                    <w14:schemeClr w14:val="tx1"/>
                  </w14:solidFill>
                </w14:textFill>
              </w:rPr>
              <w:t>0</w:t>
            </w:r>
            <w:r>
              <w:rPr>
                <w:rFonts w:ascii="Arial Narrow" w:hAnsi="Arial Narrow" w:cs="Arial"/>
                <w:color w:val="000000" w:themeColor="text1"/>
                <w:sz w:val="22"/>
                <w:szCs w:val="22"/>
                <w14:textFill>
                  <w14:solidFill>
                    <w14:schemeClr w14:val="tx1"/>
                  </w14:solidFill>
                </w14:textFill>
              </w:rPr>
              <w:t>-2</w:t>
            </w:r>
            <w:r>
              <w:rPr>
                <w:rFonts w:hint="default" w:ascii="Arial Narrow" w:hAnsi="Arial Narrow" w:cs="Arial"/>
                <w:color w:val="000000" w:themeColor="text1"/>
                <w:sz w:val="22"/>
                <w:szCs w:val="22"/>
                <w:lang w:val="en-US"/>
                <w14:textFill>
                  <w14:solidFill>
                    <w14:schemeClr w14:val="tx1"/>
                  </w14:solidFill>
                </w14:textFill>
              </w:rPr>
              <w:t>4</w:t>
            </w:r>
            <w:r>
              <w:rPr>
                <w:rFonts w:ascii="Arial Narrow" w:hAnsi="Arial Narrow" w:cs="Arial"/>
                <w:color w:val="000000" w:themeColor="text1"/>
                <w:sz w:val="22"/>
                <w:szCs w:val="22"/>
                <w14:textFill>
                  <w14:solidFill>
                    <w14:schemeClr w14:val="tx1"/>
                  </w14:solidFill>
                </w14:textFill>
              </w:rPr>
              <w:t>)</w:t>
            </w:r>
          </w:p>
          <w:p w14:paraId="1CBF78AF">
            <w:pPr>
              <w:rPr>
                <w:rFonts w:ascii="Arial Narrow" w:hAnsi="Arial Narrow" w:cs="Arial"/>
                <w:color w:val="000000" w:themeColor="text1"/>
                <w:sz w:val="22"/>
                <w:szCs w:val="22"/>
                <w14:textFill>
                  <w14:solidFill>
                    <w14:schemeClr w14:val="tx1"/>
                  </w14:solidFill>
                </w14:textFill>
              </w:rPr>
            </w:pPr>
          </w:p>
        </w:tc>
        <w:tc>
          <w:tcPr>
            <w:tcW w:w="2954" w:type="dxa"/>
            <w:shd w:val="clear" w:color="auto" w:fill="auto"/>
          </w:tcPr>
          <w:p w14:paraId="35E94E69">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Efficiency and equity</w:t>
            </w:r>
          </w:p>
        </w:tc>
        <w:tc>
          <w:tcPr>
            <w:tcW w:w="2954" w:type="dxa"/>
            <w:shd w:val="clear" w:color="auto" w:fill="auto"/>
          </w:tcPr>
          <w:p w14:paraId="5271F32D">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Stiglitz and Rosengard, Chapter 7</w:t>
            </w:r>
          </w:p>
        </w:tc>
      </w:tr>
      <w:tr w14:paraId="5007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03EB973E">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Week 11 (Oct. 2</w:t>
            </w:r>
            <w:r>
              <w:rPr>
                <w:rFonts w:hint="default" w:ascii="Arial Narrow" w:hAnsi="Arial Narrow" w:cs="Arial"/>
                <w:color w:val="000000" w:themeColor="text1"/>
                <w:sz w:val="22"/>
                <w:szCs w:val="22"/>
                <w:lang w:val="en-US"/>
                <w14:textFill>
                  <w14:solidFill>
                    <w14:schemeClr w14:val="tx1"/>
                  </w14:solidFill>
                </w14:textFill>
              </w:rPr>
              <w:t>7</w:t>
            </w:r>
            <w:r>
              <w:rPr>
                <w:rFonts w:ascii="Arial Narrow" w:hAnsi="Arial Narrow" w:cs="Arial"/>
                <w:color w:val="000000" w:themeColor="text1"/>
                <w:sz w:val="22"/>
                <w:szCs w:val="22"/>
                <w14:textFill>
                  <w14:solidFill>
                    <w14:schemeClr w14:val="tx1"/>
                  </w14:solidFill>
                </w14:textFill>
              </w:rPr>
              <w:t>--</w:t>
            </w:r>
            <w:r>
              <w:rPr>
                <w:rFonts w:hint="default" w:ascii="Arial Narrow" w:hAnsi="Arial Narrow" w:cs="Arial"/>
                <w:color w:val="000000" w:themeColor="text1"/>
                <w:sz w:val="22"/>
                <w:szCs w:val="22"/>
                <w:lang w:val="en-US"/>
                <w14:textFill>
                  <w14:solidFill>
                    <w14:schemeClr w14:val="tx1"/>
                  </w14:solidFill>
                </w14:textFill>
              </w:rPr>
              <w:t>31</w:t>
            </w:r>
            <w:r>
              <w:rPr>
                <w:rFonts w:ascii="Arial Narrow" w:hAnsi="Arial Narrow" w:cs="Arial"/>
                <w:color w:val="000000" w:themeColor="text1"/>
                <w:sz w:val="22"/>
                <w:szCs w:val="22"/>
                <w14:textFill>
                  <w14:solidFill>
                    <w14:schemeClr w14:val="tx1"/>
                  </w14:solidFill>
                </w14:textFill>
              </w:rPr>
              <w:t>)</w:t>
            </w:r>
          </w:p>
        </w:tc>
        <w:tc>
          <w:tcPr>
            <w:tcW w:w="2954" w:type="dxa"/>
            <w:shd w:val="clear" w:color="auto" w:fill="auto"/>
          </w:tcPr>
          <w:p w14:paraId="56F1D74F">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Efficiency and equity</w:t>
            </w:r>
          </w:p>
          <w:p w14:paraId="0015CB11">
            <w:pPr>
              <w:rPr>
                <w:rFonts w:hint="default" w:ascii="Arial Narrow" w:hAnsi="Arial Narrow" w:cs="Arial"/>
                <w:b/>
                <w:bCs/>
                <w:i/>
                <w:iCs/>
                <w:color w:val="000000" w:themeColor="text1"/>
                <w:sz w:val="24"/>
                <w:szCs w:val="24"/>
                <w:lang w:val="en-US"/>
                <w14:textFill>
                  <w14:solidFill>
                    <w14:schemeClr w14:val="tx1"/>
                  </w14:solidFill>
                </w14:textFill>
              </w:rPr>
            </w:pPr>
            <w:r>
              <w:rPr>
                <w:rFonts w:hint="default" w:ascii="Arial Narrow" w:hAnsi="Arial Narrow" w:cs="Arial"/>
                <w:b/>
                <w:bCs/>
                <w:i/>
                <w:iCs/>
                <w:color w:val="000000" w:themeColor="text1"/>
                <w:sz w:val="24"/>
                <w:szCs w:val="24"/>
                <w:lang w:val="en-US"/>
                <w14:textFill>
                  <w14:solidFill>
                    <w14:schemeClr w14:val="tx1"/>
                  </w14:solidFill>
                </w14:textFill>
              </w:rPr>
              <w:t>Assessment 2</w:t>
            </w:r>
          </w:p>
          <w:p w14:paraId="21909F92">
            <w:pPr>
              <w:rPr>
                <w:rFonts w:hint="default" w:ascii="Arial Narrow" w:hAnsi="Arial Narrow" w:cs="Arial"/>
                <w:color w:val="000000" w:themeColor="text1"/>
                <w:sz w:val="22"/>
                <w:szCs w:val="22"/>
                <w:lang w:val="en-US"/>
                <w14:textFill>
                  <w14:solidFill>
                    <w14:schemeClr w14:val="tx1"/>
                  </w14:solidFill>
                </w14:textFill>
              </w:rPr>
            </w:pPr>
            <w:r>
              <w:rPr>
                <w:rFonts w:hint="default" w:ascii="Arial Narrow" w:hAnsi="Arial Narrow" w:cs="Arial"/>
                <w:b/>
                <w:bCs/>
                <w:i/>
                <w:iCs/>
                <w:color w:val="000000" w:themeColor="text1"/>
                <w:sz w:val="24"/>
                <w:szCs w:val="24"/>
                <w:lang w:val="en-US"/>
                <w14:textFill>
                  <w14:solidFill>
                    <w14:schemeClr w14:val="tx1"/>
                  </w14:solidFill>
                </w14:textFill>
              </w:rPr>
              <w:t>November 5th</w:t>
            </w:r>
          </w:p>
        </w:tc>
        <w:tc>
          <w:tcPr>
            <w:tcW w:w="2954" w:type="dxa"/>
            <w:shd w:val="clear" w:color="auto" w:fill="auto"/>
          </w:tcPr>
          <w:p w14:paraId="5F1BFEBA">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Stiglitz and Rosengard, Chapters 7 and 8</w:t>
            </w:r>
          </w:p>
        </w:tc>
      </w:tr>
      <w:tr w14:paraId="2114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5DB04085">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12 (Nov. </w:t>
            </w:r>
            <w:r>
              <w:rPr>
                <w:rFonts w:hint="default" w:ascii="Arial Narrow" w:hAnsi="Arial Narrow" w:cs="Arial"/>
                <w:color w:val="000000" w:themeColor="text1"/>
                <w:sz w:val="22"/>
                <w:szCs w:val="22"/>
                <w:lang w:val="en-US"/>
                <w14:textFill>
                  <w14:solidFill>
                    <w14:schemeClr w14:val="tx1"/>
                  </w14:solidFill>
                </w14:textFill>
              </w:rPr>
              <w:t>3</w:t>
            </w:r>
            <w:r>
              <w:rPr>
                <w:rFonts w:ascii="Arial Narrow" w:hAnsi="Arial Narrow" w:cs="Arial"/>
                <w:color w:val="000000" w:themeColor="text1"/>
                <w:sz w:val="22"/>
                <w:szCs w:val="22"/>
                <w14:textFill>
                  <w14:solidFill>
                    <w14:schemeClr w14:val="tx1"/>
                  </w14:solidFill>
                </w14:textFill>
              </w:rPr>
              <w:t>-</w:t>
            </w:r>
            <w:r>
              <w:rPr>
                <w:rFonts w:hint="default" w:ascii="Arial Narrow" w:hAnsi="Arial Narrow" w:cs="Arial"/>
                <w:color w:val="000000" w:themeColor="text1"/>
                <w:sz w:val="22"/>
                <w:szCs w:val="22"/>
                <w:lang w:val="en-US"/>
                <w14:textFill>
                  <w14:solidFill>
                    <w14:schemeClr w14:val="tx1"/>
                  </w14:solidFill>
                </w14:textFill>
              </w:rPr>
              <w:t>7</w:t>
            </w:r>
            <w:r>
              <w:rPr>
                <w:rFonts w:ascii="Arial Narrow" w:hAnsi="Arial Narrow" w:cs="Arial"/>
                <w:color w:val="000000" w:themeColor="text1"/>
                <w:sz w:val="22"/>
                <w:szCs w:val="22"/>
                <w14:textFill>
                  <w14:solidFill>
                    <w14:schemeClr w14:val="tx1"/>
                  </w14:solidFill>
                </w14:textFill>
              </w:rPr>
              <w:t>)</w:t>
            </w:r>
          </w:p>
          <w:p w14:paraId="46B48582">
            <w:pPr>
              <w:rPr>
                <w:rFonts w:ascii="Arial Narrow" w:hAnsi="Arial Narrow" w:cs="Arial"/>
                <w:color w:val="000000" w:themeColor="text1"/>
                <w:sz w:val="22"/>
                <w:szCs w:val="22"/>
                <w14:textFill>
                  <w14:solidFill>
                    <w14:schemeClr w14:val="tx1"/>
                  </w14:solidFill>
                </w14:textFill>
              </w:rPr>
            </w:pPr>
          </w:p>
        </w:tc>
        <w:tc>
          <w:tcPr>
            <w:tcW w:w="2954" w:type="dxa"/>
            <w:shd w:val="clear" w:color="auto" w:fill="auto"/>
          </w:tcPr>
          <w:p w14:paraId="1672A16C">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Public production of goods and services</w:t>
            </w:r>
          </w:p>
        </w:tc>
        <w:tc>
          <w:tcPr>
            <w:tcW w:w="2954" w:type="dxa"/>
            <w:shd w:val="clear" w:color="auto" w:fill="auto"/>
          </w:tcPr>
          <w:p w14:paraId="46A773DE">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Stiglitz and Rosengard, Chapter 8</w:t>
            </w:r>
          </w:p>
        </w:tc>
      </w:tr>
      <w:tr w14:paraId="07C1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37AF555D">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Week 13 (Nov. 1</w:t>
            </w:r>
            <w:r>
              <w:rPr>
                <w:rFonts w:hint="default" w:ascii="Arial Narrow" w:hAnsi="Arial Narrow" w:cs="Arial"/>
                <w:color w:val="000000" w:themeColor="text1"/>
                <w:sz w:val="22"/>
                <w:szCs w:val="22"/>
                <w:lang w:val="en-US"/>
                <w14:textFill>
                  <w14:solidFill>
                    <w14:schemeClr w14:val="tx1"/>
                  </w14:solidFill>
                </w14:textFill>
              </w:rPr>
              <w:t>0</w:t>
            </w:r>
            <w:r>
              <w:rPr>
                <w:rFonts w:ascii="Arial Narrow" w:hAnsi="Arial Narrow" w:cs="Arial"/>
                <w:color w:val="000000" w:themeColor="text1"/>
                <w:sz w:val="22"/>
                <w:szCs w:val="22"/>
                <w14:textFill>
                  <w14:solidFill>
                    <w14:schemeClr w14:val="tx1"/>
                  </w14:solidFill>
                </w14:textFill>
              </w:rPr>
              <w:t>-1</w:t>
            </w:r>
            <w:r>
              <w:rPr>
                <w:rFonts w:hint="default" w:ascii="Arial Narrow" w:hAnsi="Arial Narrow" w:cs="Arial"/>
                <w:color w:val="000000" w:themeColor="text1"/>
                <w:sz w:val="22"/>
                <w:szCs w:val="22"/>
                <w:lang w:val="en-US"/>
                <w14:textFill>
                  <w14:solidFill>
                    <w14:schemeClr w14:val="tx1"/>
                  </w14:solidFill>
                </w14:textFill>
              </w:rPr>
              <w:t>4</w:t>
            </w:r>
            <w:r>
              <w:rPr>
                <w:rFonts w:ascii="Arial Narrow" w:hAnsi="Arial Narrow" w:cs="Arial"/>
                <w:color w:val="000000" w:themeColor="text1"/>
                <w:sz w:val="22"/>
                <w:szCs w:val="22"/>
                <w14:textFill>
                  <w14:solidFill>
                    <w14:schemeClr w14:val="tx1"/>
                  </w14:solidFill>
                </w14:textFill>
              </w:rPr>
              <w:t>)</w:t>
            </w:r>
          </w:p>
        </w:tc>
        <w:tc>
          <w:tcPr>
            <w:tcW w:w="2954" w:type="dxa"/>
            <w:shd w:val="clear" w:color="auto" w:fill="auto"/>
          </w:tcPr>
          <w:p w14:paraId="41ABC150">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Public production of goods and services</w:t>
            </w:r>
          </w:p>
          <w:p w14:paraId="5C6A90B3">
            <w:pPr>
              <w:rPr>
                <w:rFonts w:ascii="Arial Narrow" w:hAnsi="Arial Narrow" w:cs="Arial"/>
                <w:b/>
                <w:bCs/>
                <w:i/>
                <w:iCs/>
                <w:color w:val="000000" w:themeColor="text1"/>
                <w:sz w:val="24"/>
                <w:szCs w:val="24"/>
                <w14:textFill>
                  <w14:solidFill>
                    <w14:schemeClr w14:val="tx1"/>
                  </w14:solidFill>
                </w14:textFill>
              </w:rPr>
            </w:pPr>
            <w:r>
              <w:rPr>
                <w:rFonts w:ascii="Arial Narrow" w:hAnsi="Arial Narrow" w:cs="Arial"/>
                <w:b/>
                <w:bCs/>
                <w:i/>
                <w:iCs/>
                <w:color w:val="000000" w:themeColor="text1"/>
                <w:sz w:val="24"/>
                <w:szCs w:val="24"/>
                <w14:textFill>
                  <w14:solidFill>
                    <w14:schemeClr w14:val="tx1"/>
                  </w14:solidFill>
                </w14:textFill>
              </w:rPr>
              <w:t>Second Midterm Assessment Scores Due in</w:t>
            </w:r>
            <w:bookmarkStart w:id="0" w:name="_GoBack"/>
            <w:bookmarkEnd w:id="0"/>
            <w:r>
              <w:rPr>
                <w:rFonts w:ascii="Arial Narrow" w:hAnsi="Arial Narrow" w:cs="Arial"/>
                <w:b/>
                <w:bCs/>
                <w:i/>
                <w:iCs/>
                <w:color w:val="000000" w:themeColor="text1"/>
                <w:sz w:val="24"/>
                <w:szCs w:val="24"/>
                <w14:textFill>
                  <w14:solidFill>
                    <w14:schemeClr w14:val="tx1"/>
                  </w14:solidFill>
                </w14:textFill>
              </w:rPr>
              <w:t xml:space="preserve"> Registrar’s Office</w:t>
            </w:r>
          </w:p>
          <w:p w14:paraId="77D2EFCD">
            <w:pPr>
              <w:rPr>
                <w:rFonts w:hint="default" w:ascii="Arial Narrow" w:hAnsi="Arial Narrow" w:cs="Arial"/>
                <w:b/>
                <w:bCs/>
                <w:i/>
                <w:iCs/>
                <w:color w:val="000000" w:themeColor="text1"/>
                <w:sz w:val="28"/>
                <w:szCs w:val="28"/>
                <w:lang w:val="en-US"/>
                <w14:textFill>
                  <w14:solidFill>
                    <w14:schemeClr w14:val="tx1"/>
                  </w14:solidFill>
                </w14:textFill>
              </w:rPr>
            </w:pPr>
            <w:r>
              <w:rPr>
                <w:rFonts w:hint="default" w:ascii="Arial Narrow" w:hAnsi="Arial Narrow" w:cs="Arial"/>
                <w:b/>
                <w:bCs/>
                <w:i/>
                <w:iCs/>
                <w:color w:val="000000" w:themeColor="text1"/>
                <w:sz w:val="24"/>
                <w:szCs w:val="24"/>
                <w:lang w:val="en-US"/>
                <w14:textFill>
                  <w14:solidFill>
                    <w14:schemeClr w14:val="tx1"/>
                  </w14:solidFill>
                </w14:textFill>
              </w:rPr>
              <w:t>November 10-17</w:t>
            </w:r>
          </w:p>
        </w:tc>
        <w:tc>
          <w:tcPr>
            <w:tcW w:w="2954" w:type="dxa"/>
            <w:shd w:val="clear" w:color="auto" w:fill="auto"/>
          </w:tcPr>
          <w:p w14:paraId="7F3DFA8A">
            <w:pPr>
              <w:rPr>
                <w:rFonts w:hint="default" w:ascii="Arial Narrow" w:hAnsi="Arial Narrow" w:cs="Arial"/>
                <w:color w:val="000000" w:themeColor="text1"/>
                <w:sz w:val="22"/>
                <w:szCs w:val="22"/>
                <w:lang w:val="en-US"/>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Stiglitz and Rosengard, Chapter </w:t>
            </w:r>
            <w:r>
              <w:rPr>
                <w:rFonts w:hint="default" w:ascii="Arial Narrow" w:hAnsi="Arial Narrow" w:cs="Arial"/>
                <w:color w:val="000000" w:themeColor="text1"/>
                <w:sz w:val="22"/>
                <w:szCs w:val="22"/>
                <w:lang w:val="en-US"/>
                <w14:textFill>
                  <w14:solidFill>
                    <w14:schemeClr w14:val="tx1"/>
                  </w14:solidFill>
                </w14:textFill>
              </w:rPr>
              <w:t>8</w:t>
            </w:r>
          </w:p>
        </w:tc>
      </w:tr>
      <w:tr w14:paraId="198E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264B2AA5">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Week 14 (Nov. 1</w:t>
            </w:r>
            <w:r>
              <w:rPr>
                <w:rFonts w:hint="default" w:ascii="Arial Narrow" w:hAnsi="Arial Narrow" w:cs="Arial"/>
                <w:color w:val="000000" w:themeColor="text1"/>
                <w:sz w:val="22"/>
                <w:szCs w:val="22"/>
                <w:lang w:val="en-US"/>
                <w14:textFill>
                  <w14:solidFill>
                    <w14:schemeClr w14:val="tx1"/>
                  </w14:solidFill>
                </w14:textFill>
              </w:rPr>
              <w:t>7</w:t>
            </w:r>
            <w:r>
              <w:rPr>
                <w:rFonts w:ascii="Arial Narrow" w:hAnsi="Arial Narrow" w:cs="Arial"/>
                <w:color w:val="000000" w:themeColor="text1"/>
                <w:sz w:val="22"/>
                <w:szCs w:val="22"/>
                <w14:textFill>
                  <w14:solidFill>
                    <w14:schemeClr w14:val="tx1"/>
                  </w14:solidFill>
                </w14:textFill>
              </w:rPr>
              <w:t>-2</w:t>
            </w:r>
            <w:r>
              <w:rPr>
                <w:rFonts w:hint="default" w:ascii="Arial Narrow" w:hAnsi="Arial Narrow" w:cs="Arial"/>
                <w:color w:val="000000" w:themeColor="text1"/>
                <w:sz w:val="22"/>
                <w:szCs w:val="22"/>
                <w:lang w:val="en-US"/>
                <w14:textFill>
                  <w14:solidFill>
                    <w14:schemeClr w14:val="tx1"/>
                  </w14:solidFill>
                </w14:textFill>
              </w:rPr>
              <w:t>1</w:t>
            </w:r>
            <w:r>
              <w:rPr>
                <w:rFonts w:ascii="Arial Narrow" w:hAnsi="Arial Narrow" w:cs="Arial"/>
                <w:color w:val="000000" w:themeColor="text1"/>
                <w:sz w:val="22"/>
                <w:szCs w:val="22"/>
                <w14:textFill>
                  <w14:solidFill>
                    <w14:schemeClr w14:val="tx1"/>
                  </w14:solidFill>
                </w14:textFill>
              </w:rPr>
              <w:t>)</w:t>
            </w:r>
          </w:p>
        </w:tc>
        <w:tc>
          <w:tcPr>
            <w:tcW w:w="2954" w:type="dxa"/>
            <w:shd w:val="clear" w:color="auto" w:fill="auto"/>
          </w:tcPr>
          <w:p w14:paraId="2B404CA2">
            <w:pPr>
              <w:rPr>
                <w:rFonts w:ascii="Arial Narrow" w:hAnsi="Arial Narrow" w:cs="Arial"/>
                <w:b/>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 Public choice</w:t>
            </w:r>
          </w:p>
        </w:tc>
        <w:tc>
          <w:tcPr>
            <w:tcW w:w="2954" w:type="dxa"/>
            <w:shd w:val="clear" w:color="auto" w:fill="auto"/>
          </w:tcPr>
          <w:p w14:paraId="5CC8AC81">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Stiglitz and Rosengard, Chapter 9</w:t>
            </w:r>
          </w:p>
        </w:tc>
      </w:tr>
      <w:tr w14:paraId="6016D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48CA2D14">
            <w:pPr>
              <w:rPr>
                <w:rFonts w:ascii="Arial Narrow" w:hAnsi="Arial Narrow" w:cs="Arial"/>
                <w:color w:val="000000" w:themeColor="text1"/>
                <w:sz w:val="22"/>
                <w:szCs w:val="22"/>
                <w:u w:val="single"/>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15 </w:t>
            </w:r>
            <w:r>
              <w:rPr>
                <w:rFonts w:ascii="Arial Narrow" w:hAnsi="Arial Narrow" w:cs="Arial"/>
                <w:color w:val="000000" w:themeColor="text1"/>
                <w:sz w:val="22"/>
                <w:szCs w:val="22"/>
                <w:u w:val="single"/>
                <w14:textFill>
                  <w14:solidFill>
                    <w14:schemeClr w14:val="tx1"/>
                  </w14:solidFill>
                </w14:textFill>
              </w:rPr>
              <w:t>(Nov. 2</w:t>
            </w:r>
            <w:r>
              <w:rPr>
                <w:rFonts w:hint="default" w:ascii="Arial Narrow" w:hAnsi="Arial Narrow" w:cs="Arial"/>
                <w:color w:val="000000" w:themeColor="text1"/>
                <w:sz w:val="22"/>
                <w:szCs w:val="22"/>
                <w:u w:val="single"/>
                <w:lang w:val="en-US"/>
                <w14:textFill>
                  <w14:solidFill>
                    <w14:schemeClr w14:val="tx1"/>
                  </w14:solidFill>
                </w14:textFill>
              </w:rPr>
              <w:t>4</w:t>
            </w:r>
            <w:r>
              <w:rPr>
                <w:rFonts w:ascii="Arial Narrow" w:hAnsi="Arial Narrow" w:cs="Arial"/>
                <w:color w:val="000000" w:themeColor="text1"/>
                <w:sz w:val="22"/>
                <w:szCs w:val="22"/>
                <w:u w:val="single"/>
                <w14:textFill>
                  <w14:solidFill>
                    <w14:schemeClr w14:val="tx1"/>
                  </w14:solidFill>
                </w14:textFill>
              </w:rPr>
              <w:t>-2</w:t>
            </w:r>
            <w:r>
              <w:rPr>
                <w:rFonts w:hint="default" w:ascii="Arial Narrow" w:hAnsi="Arial Narrow" w:cs="Arial"/>
                <w:color w:val="000000" w:themeColor="text1"/>
                <w:sz w:val="22"/>
                <w:szCs w:val="22"/>
                <w:u w:val="single"/>
                <w:lang w:val="en-US"/>
                <w14:textFill>
                  <w14:solidFill>
                    <w14:schemeClr w14:val="tx1"/>
                  </w14:solidFill>
                </w14:textFill>
              </w:rPr>
              <w:t>8</w:t>
            </w:r>
            <w:r>
              <w:rPr>
                <w:rFonts w:ascii="Arial Narrow" w:hAnsi="Arial Narrow" w:cs="Arial"/>
                <w:color w:val="000000" w:themeColor="text1"/>
                <w:sz w:val="22"/>
                <w:szCs w:val="22"/>
                <w:u w:val="single"/>
                <w14:textFill>
                  <w14:solidFill>
                    <w14:schemeClr w14:val="tx1"/>
                  </w14:solidFill>
                </w14:textFill>
              </w:rPr>
              <w:t>)</w:t>
            </w:r>
          </w:p>
        </w:tc>
        <w:tc>
          <w:tcPr>
            <w:tcW w:w="2954" w:type="dxa"/>
            <w:shd w:val="clear" w:color="auto" w:fill="auto"/>
          </w:tcPr>
          <w:p w14:paraId="491C5801">
            <w:pPr>
              <w:pStyle w:val="48"/>
              <w:numPr>
                <w:ilvl w:val="0"/>
                <w:numId w:val="0"/>
              </w:numPr>
              <w:rPr>
                <w:rFonts w:ascii="Arial Narrow" w:hAnsi="Arial Narrow" w:cs="Arial"/>
                <w:b/>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Public choice</w:t>
            </w:r>
          </w:p>
          <w:p w14:paraId="0F303B2D">
            <w:pPr>
              <w:pStyle w:val="48"/>
              <w:rPr>
                <w:rFonts w:ascii="Arial Narrow" w:hAnsi="Arial Narrow" w:cs="Arial"/>
                <w:b/>
                <w:color w:val="000000" w:themeColor="text1"/>
                <w:sz w:val="22"/>
                <w:szCs w:val="22"/>
                <w14:textFill>
                  <w14:solidFill>
                    <w14:schemeClr w14:val="tx1"/>
                  </w14:solidFill>
                </w14:textFill>
              </w:rPr>
            </w:pPr>
          </w:p>
        </w:tc>
        <w:tc>
          <w:tcPr>
            <w:tcW w:w="2954" w:type="dxa"/>
            <w:shd w:val="clear" w:color="auto" w:fill="auto"/>
          </w:tcPr>
          <w:p w14:paraId="485AD7D5">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Stiglitz and Rosengard, Chapter 9</w:t>
            </w:r>
          </w:p>
        </w:tc>
      </w:tr>
      <w:tr w14:paraId="5343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582EA220">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16 (Dec. </w:t>
            </w:r>
            <w:r>
              <w:rPr>
                <w:rFonts w:hint="default" w:ascii="Arial Narrow" w:hAnsi="Arial Narrow" w:cs="Arial"/>
                <w:color w:val="000000" w:themeColor="text1"/>
                <w:sz w:val="22"/>
                <w:szCs w:val="22"/>
                <w:lang w:val="en-US"/>
                <w14:textFill>
                  <w14:solidFill>
                    <w14:schemeClr w14:val="tx1"/>
                  </w14:solidFill>
                </w14:textFill>
              </w:rPr>
              <w:t>1</w:t>
            </w:r>
            <w:r>
              <w:rPr>
                <w:rFonts w:ascii="Arial Narrow" w:hAnsi="Arial Narrow" w:cs="Arial"/>
                <w:color w:val="000000" w:themeColor="text1"/>
                <w:sz w:val="22"/>
                <w:szCs w:val="22"/>
                <w14:textFill>
                  <w14:solidFill>
                    <w14:schemeClr w14:val="tx1"/>
                  </w14:solidFill>
                </w14:textFill>
              </w:rPr>
              <w:t>-</w:t>
            </w:r>
            <w:r>
              <w:rPr>
                <w:rFonts w:hint="default" w:ascii="Arial Narrow" w:hAnsi="Arial Narrow" w:cs="Arial"/>
                <w:color w:val="000000" w:themeColor="text1"/>
                <w:sz w:val="22"/>
                <w:szCs w:val="22"/>
                <w:lang w:val="en-US"/>
                <w14:textFill>
                  <w14:solidFill>
                    <w14:schemeClr w14:val="tx1"/>
                  </w14:solidFill>
                </w14:textFill>
              </w:rPr>
              <w:t>5</w:t>
            </w:r>
            <w:r>
              <w:rPr>
                <w:rFonts w:ascii="Arial Narrow" w:hAnsi="Arial Narrow" w:cs="Arial"/>
                <w:color w:val="000000" w:themeColor="text1"/>
                <w:sz w:val="22"/>
                <w:szCs w:val="22"/>
                <w14:textFill>
                  <w14:solidFill>
                    <w14:schemeClr w14:val="tx1"/>
                  </w14:solidFill>
                </w14:textFill>
              </w:rPr>
              <w:t>)</w:t>
            </w:r>
          </w:p>
          <w:p w14:paraId="689636A9">
            <w:pPr>
              <w:rPr>
                <w:rFonts w:ascii="Arial Narrow" w:hAnsi="Arial Narrow" w:cs="Arial"/>
                <w:b/>
                <w:color w:val="000000" w:themeColor="text1"/>
                <w:sz w:val="22"/>
                <w:szCs w:val="22"/>
                <w14:textFill>
                  <w14:solidFill>
                    <w14:schemeClr w14:val="tx1"/>
                  </w14:solidFill>
                </w14:textFill>
              </w:rPr>
            </w:pPr>
          </w:p>
        </w:tc>
        <w:tc>
          <w:tcPr>
            <w:tcW w:w="2954" w:type="dxa"/>
            <w:shd w:val="clear" w:color="auto" w:fill="auto"/>
          </w:tcPr>
          <w:p w14:paraId="7375CBAD">
            <w:pPr>
              <w:pStyle w:val="48"/>
              <w:numPr>
                <w:ilvl w:val="0"/>
                <w:numId w:val="0"/>
              </w:numPr>
              <w:rPr>
                <w:rFonts w:ascii="Arial Narrow" w:hAnsi="Arial Narrow" w:cs="Arial"/>
                <w:b/>
                <w:color w:val="000000" w:themeColor="text1"/>
                <w:sz w:val="22"/>
                <w:szCs w:val="22"/>
                <w14:textFill>
                  <w14:solidFill>
                    <w14:schemeClr w14:val="tx1"/>
                  </w14:solidFill>
                </w14:textFill>
              </w:rPr>
            </w:pPr>
            <w:r>
              <w:rPr>
                <w:rFonts w:ascii="Arial Narrow" w:hAnsi="Arial Narrow" w:cs="Arial"/>
                <w:b/>
                <w:color w:val="000000" w:themeColor="text1"/>
                <w:sz w:val="22"/>
                <w:szCs w:val="22"/>
                <w14:textFill>
                  <w14:solidFill>
                    <w14:schemeClr w14:val="tx1"/>
                  </w14:solidFill>
                </w14:textFill>
              </w:rPr>
              <w:t>Presentations</w:t>
            </w:r>
          </w:p>
        </w:tc>
        <w:tc>
          <w:tcPr>
            <w:tcW w:w="2954" w:type="dxa"/>
            <w:shd w:val="clear" w:color="auto" w:fill="auto"/>
          </w:tcPr>
          <w:p w14:paraId="0913AF93">
            <w:pPr>
              <w:rPr>
                <w:rFonts w:ascii="Arial Narrow" w:hAnsi="Arial Narrow" w:cs="Arial"/>
                <w:color w:val="000000" w:themeColor="text1"/>
                <w:sz w:val="22"/>
                <w:szCs w:val="22"/>
                <w14:textFill>
                  <w14:solidFill>
                    <w14:schemeClr w14:val="tx1"/>
                  </w14:solidFill>
                </w14:textFill>
              </w:rPr>
            </w:pPr>
          </w:p>
        </w:tc>
      </w:tr>
      <w:tr w14:paraId="248F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152FCC39">
            <w:pPr>
              <w:rPr>
                <w:rFonts w:hint="default" w:ascii="Arial Narrow" w:hAnsi="Arial Narrow" w:cs="Arial"/>
                <w:color w:val="000000" w:themeColor="text1"/>
                <w:sz w:val="22"/>
                <w:szCs w:val="22"/>
                <w:lang w:val="en-US"/>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December </w:t>
            </w:r>
            <w:r>
              <w:rPr>
                <w:rFonts w:hint="default" w:ascii="Arial Narrow" w:hAnsi="Arial Narrow" w:cs="Arial"/>
                <w:color w:val="000000" w:themeColor="text1"/>
                <w:sz w:val="22"/>
                <w:szCs w:val="22"/>
                <w:lang w:val="en-US"/>
                <w14:textFill>
                  <w14:solidFill>
                    <w14:schemeClr w14:val="tx1"/>
                  </w14:solidFill>
                </w14:textFill>
              </w:rPr>
              <w:t>8-10</w:t>
            </w:r>
          </w:p>
        </w:tc>
        <w:tc>
          <w:tcPr>
            <w:tcW w:w="2954" w:type="dxa"/>
            <w:shd w:val="clear" w:color="auto" w:fill="auto"/>
          </w:tcPr>
          <w:p w14:paraId="65BA72E8">
            <w:pPr>
              <w:pStyle w:val="48"/>
              <w:numPr>
                <w:ilvl w:val="0"/>
                <w:numId w:val="0"/>
              </w:numPr>
              <w:rPr>
                <w:rFonts w:ascii="Arial Narrow" w:hAnsi="Arial Narrow" w:cs="Arial"/>
                <w:b/>
                <w:color w:val="000000" w:themeColor="text1"/>
                <w:sz w:val="22"/>
                <w:szCs w:val="22"/>
                <w14:textFill>
                  <w14:solidFill>
                    <w14:schemeClr w14:val="tx1"/>
                  </w14:solidFill>
                </w14:textFill>
              </w:rPr>
            </w:pPr>
            <w:r>
              <w:rPr>
                <w:rFonts w:ascii="Arial Narrow" w:hAnsi="Arial Narrow" w:cs="Arial"/>
                <w:b/>
                <w:color w:val="000000" w:themeColor="text1"/>
                <w:sz w:val="22"/>
                <w:szCs w:val="22"/>
                <w14:textFill>
                  <w14:solidFill>
                    <w14:schemeClr w14:val="tx1"/>
                  </w14:solidFill>
                </w14:textFill>
              </w:rPr>
              <w:t xml:space="preserve">Final Assessment </w:t>
            </w:r>
          </w:p>
        </w:tc>
        <w:tc>
          <w:tcPr>
            <w:tcW w:w="2954" w:type="dxa"/>
            <w:shd w:val="clear" w:color="auto" w:fill="auto"/>
          </w:tcPr>
          <w:p w14:paraId="3CD72412">
            <w:pPr>
              <w:rPr>
                <w:rFonts w:ascii="Arial Narrow" w:hAnsi="Arial Narrow" w:cs="Arial"/>
                <w:color w:val="000000" w:themeColor="text1"/>
                <w:sz w:val="22"/>
                <w:szCs w:val="22"/>
                <w14:textFill>
                  <w14:solidFill>
                    <w14:schemeClr w14:val="tx1"/>
                  </w14:solidFill>
                </w14:textFill>
              </w:rPr>
            </w:pPr>
          </w:p>
        </w:tc>
      </w:tr>
    </w:tbl>
    <w:p w14:paraId="23DD8D6D">
      <w:pPr>
        <w:spacing w:after="0" w:line="240" w:lineRule="auto"/>
        <w:rPr>
          <w:rFonts w:ascii="Arial Narrow" w:hAnsi="Arial Narrow" w:cs="Arial"/>
          <w:color w:val="000000" w:themeColor="text1"/>
          <w:sz w:val="22"/>
          <w:szCs w:val="22"/>
          <w14:textFill>
            <w14:solidFill>
              <w14:schemeClr w14:val="tx1"/>
            </w14:solidFill>
          </w14:textFill>
        </w:rPr>
      </w:pPr>
      <w:r>
        <w:rPr>
          <w:rFonts w:ascii="Arial Narrow" w:hAnsi="Arial Narrow" w:cs="Arial"/>
          <w:b/>
          <w:bCs/>
          <w:color w:val="000000" w:themeColor="text1"/>
          <w:sz w:val="22"/>
          <w:szCs w:val="22"/>
          <w14:textFill>
            <w14:solidFill>
              <w14:schemeClr w14:val="tx1"/>
            </w14:solidFill>
          </w14:textFill>
        </w:rPr>
        <w:tab/>
      </w:r>
      <w:r>
        <w:rPr>
          <w:rFonts w:ascii="Arial Narrow" w:hAnsi="Arial Narrow" w:cs="Arial"/>
          <w:color w:val="000000" w:themeColor="text1"/>
          <w:sz w:val="22"/>
          <w:szCs w:val="22"/>
          <w14:textFill>
            <w14:solidFill>
              <w14:schemeClr w14:val="tx1"/>
            </w14:solidFill>
          </w14:textFill>
        </w:rPr>
        <w:t>This syllabus may be subject to pre-announced changes!</w:t>
      </w:r>
    </w:p>
    <w:p w14:paraId="3A438F3D">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sectPr>
      <w:footerReference r:id="rId5" w:type="default"/>
      <w:pgSz w:w="12240" w:h="15840"/>
      <w:pgMar w:top="1134" w:right="850"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Arial Narrow">
    <w:panose1 w:val="020B0606020202030204"/>
    <w:charset w:val="00"/>
    <w:family w:val="swiss"/>
    <w:pitch w:val="default"/>
    <w:sig w:usb0="00000287" w:usb1="00000800" w:usb2="00000000" w:usb3="00000000" w:csb0="2000009F" w:csb1="DFD70000"/>
  </w:font>
  <w:font w:name="ArialMT">
    <w:altName w:val="MS Gothic"/>
    <w:panose1 w:val="00000000000000000000"/>
    <w:charset w:val="00"/>
    <w:family w:val="swiss"/>
    <w:pitch w:val="default"/>
    <w:sig w:usb0="00000000" w:usb1="00000000" w:usb2="00000010" w:usb3="00000000" w:csb0="00020001" w:csb1="00000000"/>
  </w:font>
  <w:font w:name="Symbol">
    <w:panose1 w:val="05050102010706020507"/>
    <w:charset w:val="02"/>
    <w:family w:val="roman"/>
    <w:pitch w:val="default"/>
    <w:sig w:usb0="00000000" w:usb1="00000000" w:usb2="00000000" w:usb3="00000000" w:csb0="80000000" w:csb1="00000000"/>
  </w:font>
  <w:font w:name="Code2000">
    <w:altName w:val="Malgun Gothic"/>
    <w:panose1 w:val="00000000000000000000"/>
    <w:charset w:val="81"/>
    <w:family w:val="auto"/>
    <w:pitch w:val="default"/>
    <w:sig w:usb0="00000000" w:usb1="00000000" w:usb2="00000010" w:usb3="00000000" w:csb0="00080000" w:csb1="00000000"/>
  </w:font>
  <w:font w:name="Microsoft YaHei">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1938005"/>
      <w:docPartObj>
        <w:docPartGallery w:val="autotext"/>
      </w:docPartObj>
    </w:sdtPr>
    <w:sdtContent>
      <w:p w14:paraId="17558654">
        <w:pPr>
          <w:pStyle w:val="17"/>
          <w:jc w:val="right"/>
        </w:pPr>
        <w:r>
          <w:fldChar w:fldCharType="begin"/>
        </w:r>
        <w:r>
          <w:instrText xml:space="preserve"> PAGE   \* MERGEFORMAT </w:instrText>
        </w:r>
        <w:r>
          <w:fldChar w:fldCharType="separate"/>
        </w:r>
        <w:r>
          <w:t>7</w:t>
        </w:r>
        <w:r>
          <w:fldChar w:fldCharType="end"/>
        </w:r>
      </w:p>
    </w:sdtContent>
  </w:sdt>
  <w:p w14:paraId="470F0015">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20620"/>
    <w:multiLevelType w:val="multilevel"/>
    <w:tmpl w:val="00520620"/>
    <w:lvl w:ilvl="0" w:tentative="0">
      <w:start w:val="1"/>
      <w:numFmt w:val="upperLetter"/>
      <w:lvlText w:val="%1."/>
      <w:lvlJc w:val="left"/>
      <w:pPr>
        <w:ind w:left="720" w:hanging="360"/>
      </w:pPr>
      <w:rPr>
        <w:rFonts w:hint="default" w:cs="Calibri"/>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2B2177C"/>
    <w:multiLevelType w:val="multilevel"/>
    <w:tmpl w:val="02B2177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BF73D89"/>
    <w:multiLevelType w:val="multilevel"/>
    <w:tmpl w:val="0BF73D89"/>
    <w:lvl w:ilvl="0" w:tentative="0">
      <w:start w:val="1"/>
      <w:numFmt w:val="bullet"/>
      <w:lvlText w:val="·"/>
      <w:lvlJc w:val="left"/>
      <w:pPr>
        <w:ind w:left="14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bullet"/>
      <w:lvlText w:val="o"/>
      <w:lvlJc w:val="left"/>
      <w:pPr>
        <w:ind w:left="2130" w:hanging="33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tentative="0">
      <w:start w:val="1"/>
      <w:numFmt w:val="bullet"/>
      <w:lvlText w:val="▪"/>
      <w:lvlJc w:val="left"/>
      <w:pPr>
        <w:ind w:left="2850" w:hanging="33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tentative="0">
      <w:start w:val="1"/>
      <w:numFmt w:val="bullet"/>
      <w:lvlText w:val="·"/>
      <w:lvlJc w:val="left"/>
      <w:pPr>
        <w:ind w:left="3570" w:hanging="33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tentative="0">
      <w:start w:val="1"/>
      <w:numFmt w:val="bullet"/>
      <w:lvlText w:val="o"/>
      <w:lvlJc w:val="left"/>
      <w:pPr>
        <w:ind w:left="4290" w:hanging="33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tentative="0">
      <w:start w:val="1"/>
      <w:numFmt w:val="bullet"/>
      <w:lvlText w:val="▪"/>
      <w:lvlJc w:val="left"/>
      <w:pPr>
        <w:ind w:left="5010" w:hanging="33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tentative="0">
      <w:start w:val="1"/>
      <w:numFmt w:val="bullet"/>
      <w:lvlText w:val="·"/>
      <w:lvlJc w:val="left"/>
      <w:pPr>
        <w:ind w:left="5730" w:hanging="33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tentative="0">
      <w:start w:val="1"/>
      <w:numFmt w:val="bullet"/>
      <w:lvlText w:val="o"/>
      <w:lvlJc w:val="left"/>
      <w:pPr>
        <w:ind w:left="6450" w:hanging="33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tentative="0">
      <w:start w:val="1"/>
      <w:numFmt w:val="bullet"/>
      <w:lvlText w:val="▪"/>
      <w:lvlJc w:val="left"/>
      <w:pPr>
        <w:ind w:left="7170" w:hanging="33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nsid w:val="21FD2E57"/>
    <w:multiLevelType w:val="multilevel"/>
    <w:tmpl w:val="21FD2E57"/>
    <w:lvl w:ilvl="0" w:tentative="0">
      <w:start w:val="1"/>
      <w:numFmt w:val="decimal"/>
      <w:lvlText w:val="%1."/>
      <w:lvlJc w:val="left"/>
      <w:pPr>
        <w:ind w:left="360" w:hanging="360"/>
      </w:pPr>
      <w:rPr>
        <w:rFonts w:hint="default" w:cs="Calibri"/>
        <w:b/>
        <w:bCs w:val="0"/>
        <w:color w:val="000000" w:themeColor="text1"/>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72B596F"/>
    <w:multiLevelType w:val="multilevel"/>
    <w:tmpl w:val="272B59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C046115"/>
    <w:multiLevelType w:val="multilevel"/>
    <w:tmpl w:val="2C0461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4572166"/>
    <w:multiLevelType w:val="multilevel"/>
    <w:tmpl w:val="64572166"/>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83973CB"/>
    <w:multiLevelType w:val="multilevel"/>
    <w:tmpl w:val="783973CB"/>
    <w:lvl w:ilvl="0" w:tentative="0">
      <w:start w:val="1"/>
      <w:numFmt w:val="bullet"/>
      <w:lvlText w:val=""/>
      <w:lvlJc w:val="left"/>
      <w:pPr>
        <w:tabs>
          <w:tab w:val="left" w:pos="720"/>
        </w:tabs>
        <w:ind w:left="720" w:hanging="360"/>
      </w:pPr>
      <w:rPr>
        <w:rFonts w:hint="default" w:ascii="Symbol" w:hAnsi="Symbol"/>
        <w:sz w:val="20"/>
      </w:rPr>
    </w:lvl>
    <w:lvl w:ilvl="1" w:tentative="0">
      <w:start w:val="9"/>
      <w:numFmt w:val="decimal"/>
      <w:lvlText w:val="%2."/>
      <w:lvlJc w:val="left"/>
      <w:pPr>
        <w:ind w:left="1440" w:hanging="360"/>
      </w:pPr>
      <w:rPr>
        <w:rFonts w:hint="default" w:cs="Calibri"/>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7B4843AE"/>
    <w:multiLevelType w:val="multilevel"/>
    <w:tmpl w:val="7B4843AE"/>
    <w:lvl w:ilvl="0" w:tentative="0">
      <w:start w:val="1"/>
      <w:numFmt w:val="bullet"/>
      <w:lvlText w:val=""/>
      <w:lvlJc w:val="left"/>
      <w:pPr>
        <w:tabs>
          <w:tab w:val="left" w:pos="720"/>
        </w:tabs>
        <w:ind w:left="720" w:hanging="360"/>
      </w:pPr>
      <w:rPr>
        <w:rFonts w:hint="default" w:ascii="Symbol" w:hAnsi="Symbol"/>
        <w:sz w:val="20"/>
      </w:rPr>
    </w:lvl>
    <w:lvl w:ilvl="1" w:tentative="0">
      <w:start w:val="10"/>
      <w:numFmt w:val="decimal"/>
      <w:lvlText w:val="%2."/>
      <w:lvlJc w:val="left"/>
      <w:pPr>
        <w:ind w:left="1440" w:hanging="360"/>
      </w:pPr>
      <w:rPr>
        <w:rFonts w:hint="default" w:cs="Calibri"/>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
  </w:num>
  <w:num w:numId="2">
    <w:abstractNumId w:val="1"/>
  </w:num>
  <w:num w:numId="3">
    <w:abstractNumId w:val="7"/>
  </w:num>
  <w:num w:numId="4">
    <w:abstractNumId w:val="4"/>
  </w:num>
  <w:num w:numId="5">
    <w:abstractNumId w:val="5"/>
  </w:num>
  <w:num w:numId="6">
    <w:abstractNumId w:val="8"/>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FA3"/>
    <w:rsid w:val="0000356B"/>
    <w:rsid w:val="000040D1"/>
    <w:rsid w:val="000326C8"/>
    <w:rsid w:val="00032EAC"/>
    <w:rsid w:val="000505C6"/>
    <w:rsid w:val="00062BF6"/>
    <w:rsid w:val="00093DB3"/>
    <w:rsid w:val="00095153"/>
    <w:rsid w:val="000A4548"/>
    <w:rsid w:val="000A7E74"/>
    <w:rsid w:val="000B3EC7"/>
    <w:rsid w:val="000C121B"/>
    <w:rsid w:val="000C3EA2"/>
    <w:rsid w:val="000C43E7"/>
    <w:rsid w:val="000C5E61"/>
    <w:rsid w:val="0010795D"/>
    <w:rsid w:val="001350D7"/>
    <w:rsid w:val="0014351D"/>
    <w:rsid w:val="00163702"/>
    <w:rsid w:val="00181BE4"/>
    <w:rsid w:val="001B00EF"/>
    <w:rsid w:val="001B3C9B"/>
    <w:rsid w:val="001C5648"/>
    <w:rsid w:val="001D1728"/>
    <w:rsid w:val="001E7A33"/>
    <w:rsid w:val="00210615"/>
    <w:rsid w:val="002121AA"/>
    <w:rsid w:val="00220547"/>
    <w:rsid w:val="00255F4A"/>
    <w:rsid w:val="002724EC"/>
    <w:rsid w:val="00275E65"/>
    <w:rsid w:val="00276D5B"/>
    <w:rsid w:val="00284389"/>
    <w:rsid w:val="00295233"/>
    <w:rsid w:val="002A6F06"/>
    <w:rsid w:val="002C4B8B"/>
    <w:rsid w:val="002C5D3D"/>
    <w:rsid w:val="002D060A"/>
    <w:rsid w:val="002D5D7D"/>
    <w:rsid w:val="002F2B1B"/>
    <w:rsid w:val="00310D7E"/>
    <w:rsid w:val="00317597"/>
    <w:rsid w:val="0035001F"/>
    <w:rsid w:val="00352504"/>
    <w:rsid w:val="003656DE"/>
    <w:rsid w:val="003732B7"/>
    <w:rsid w:val="00395508"/>
    <w:rsid w:val="003A5AE8"/>
    <w:rsid w:val="003C12F5"/>
    <w:rsid w:val="003D7FEB"/>
    <w:rsid w:val="003E7FB2"/>
    <w:rsid w:val="00403B61"/>
    <w:rsid w:val="00433511"/>
    <w:rsid w:val="0044257B"/>
    <w:rsid w:val="00446E9E"/>
    <w:rsid w:val="00451D62"/>
    <w:rsid w:val="00452B73"/>
    <w:rsid w:val="00472869"/>
    <w:rsid w:val="00486620"/>
    <w:rsid w:val="004A1132"/>
    <w:rsid w:val="004A5D44"/>
    <w:rsid w:val="004B1568"/>
    <w:rsid w:val="004B1FC2"/>
    <w:rsid w:val="004D03B9"/>
    <w:rsid w:val="004D0E5D"/>
    <w:rsid w:val="004D50A0"/>
    <w:rsid w:val="004D73C1"/>
    <w:rsid w:val="004E027A"/>
    <w:rsid w:val="004E5965"/>
    <w:rsid w:val="004E68C8"/>
    <w:rsid w:val="0051278D"/>
    <w:rsid w:val="005224FE"/>
    <w:rsid w:val="005234F5"/>
    <w:rsid w:val="00525B31"/>
    <w:rsid w:val="00541906"/>
    <w:rsid w:val="0054244A"/>
    <w:rsid w:val="00542645"/>
    <w:rsid w:val="005446DB"/>
    <w:rsid w:val="00556457"/>
    <w:rsid w:val="00565289"/>
    <w:rsid w:val="005654AD"/>
    <w:rsid w:val="00566ACF"/>
    <w:rsid w:val="00574CC9"/>
    <w:rsid w:val="00591E63"/>
    <w:rsid w:val="00593C7F"/>
    <w:rsid w:val="00595296"/>
    <w:rsid w:val="005A030C"/>
    <w:rsid w:val="005D0283"/>
    <w:rsid w:val="005D603B"/>
    <w:rsid w:val="005D7C43"/>
    <w:rsid w:val="005E698B"/>
    <w:rsid w:val="0060598A"/>
    <w:rsid w:val="00610787"/>
    <w:rsid w:val="006155C5"/>
    <w:rsid w:val="00616F38"/>
    <w:rsid w:val="0062316C"/>
    <w:rsid w:val="006263D3"/>
    <w:rsid w:val="006351F1"/>
    <w:rsid w:val="0064215D"/>
    <w:rsid w:val="00647A3A"/>
    <w:rsid w:val="00654BDB"/>
    <w:rsid w:val="00655137"/>
    <w:rsid w:val="006864A0"/>
    <w:rsid w:val="00694A11"/>
    <w:rsid w:val="00696FCB"/>
    <w:rsid w:val="006A44C0"/>
    <w:rsid w:val="006B52BB"/>
    <w:rsid w:val="006B535C"/>
    <w:rsid w:val="006E0728"/>
    <w:rsid w:val="006E7FFA"/>
    <w:rsid w:val="006F46C1"/>
    <w:rsid w:val="006F63AF"/>
    <w:rsid w:val="006F7A51"/>
    <w:rsid w:val="00705EC8"/>
    <w:rsid w:val="007104D9"/>
    <w:rsid w:val="00710E3C"/>
    <w:rsid w:val="007209B1"/>
    <w:rsid w:val="007246AA"/>
    <w:rsid w:val="0073167B"/>
    <w:rsid w:val="00745F46"/>
    <w:rsid w:val="0075202D"/>
    <w:rsid w:val="00752390"/>
    <w:rsid w:val="00766BD7"/>
    <w:rsid w:val="00782414"/>
    <w:rsid w:val="00796BAF"/>
    <w:rsid w:val="007C100D"/>
    <w:rsid w:val="007C17B2"/>
    <w:rsid w:val="007D6DE1"/>
    <w:rsid w:val="007E712B"/>
    <w:rsid w:val="007F151C"/>
    <w:rsid w:val="007F1E5F"/>
    <w:rsid w:val="007F4207"/>
    <w:rsid w:val="008119B4"/>
    <w:rsid w:val="008173D7"/>
    <w:rsid w:val="00827AB0"/>
    <w:rsid w:val="00834820"/>
    <w:rsid w:val="00856A8B"/>
    <w:rsid w:val="00870ED3"/>
    <w:rsid w:val="00875B54"/>
    <w:rsid w:val="00880082"/>
    <w:rsid w:val="0088469F"/>
    <w:rsid w:val="00891909"/>
    <w:rsid w:val="008A62DC"/>
    <w:rsid w:val="008C027A"/>
    <w:rsid w:val="008C03FA"/>
    <w:rsid w:val="008C0D20"/>
    <w:rsid w:val="008C1F80"/>
    <w:rsid w:val="008C2D49"/>
    <w:rsid w:val="009017F2"/>
    <w:rsid w:val="00901AE4"/>
    <w:rsid w:val="00916605"/>
    <w:rsid w:val="00916675"/>
    <w:rsid w:val="00933EB1"/>
    <w:rsid w:val="009416B7"/>
    <w:rsid w:val="009514A2"/>
    <w:rsid w:val="009679D8"/>
    <w:rsid w:val="00971543"/>
    <w:rsid w:val="009A55D8"/>
    <w:rsid w:val="009B067A"/>
    <w:rsid w:val="009B298F"/>
    <w:rsid w:val="009B7DA4"/>
    <w:rsid w:val="009F27F3"/>
    <w:rsid w:val="009F36DE"/>
    <w:rsid w:val="009F48EB"/>
    <w:rsid w:val="00A17DEC"/>
    <w:rsid w:val="00A23990"/>
    <w:rsid w:val="00A32083"/>
    <w:rsid w:val="00A41FA3"/>
    <w:rsid w:val="00A43BAB"/>
    <w:rsid w:val="00A56587"/>
    <w:rsid w:val="00A81B72"/>
    <w:rsid w:val="00A855EF"/>
    <w:rsid w:val="00A87979"/>
    <w:rsid w:val="00A9234B"/>
    <w:rsid w:val="00AA61D1"/>
    <w:rsid w:val="00AB4F0E"/>
    <w:rsid w:val="00AF4975"/>
    <w:rsid w:val="00B11841"/>
    <w:rsid w:val="00B37BCC"/>
    <w:rsid w:val="00B6797D"/>
    <w:rsid w:val="00B70D25"/>
    <w:rsid w:val="00B7341D"/>
    <w:rsid w:val="00BC3A9E"/>
    <w:rsid w:val="00C43E21"/>
    <w:rsid w:val="00C54B25"/>
    <w:rsid w:val="00C557FD"/>
    <w:rsid w:val="00C66B57"/>
    <w:rsid w:val="00C77F96"/>
    <w:rsid w:val="00CB0F29"/>
    <w:rsid w:val="00CB4BBA"/>
    <w:rsid w:val="00CC166B"/>
    <w:rsid w:val="00CC2AFA"/>
    <w:rsid w:val="00CF3DC0"/>
    <w:rsid w:val="00D01AB7"/>
    <w:rsid w:val="00D12D0D"/>
    <w:rsid w:val="00D2522B"/>
    <w:rsid w:val="00D263A9"/>
    <w:rsid w:val="00D4368E"/>
    <w:rsid w:val="00D46C74"/>
    <w:rsid w:val="00D47190"/>
    <w:rsid w:val="00D561AD"/>
    <w:rsid w:val="00D731E1"/>
    <w:rsid w:val="00D7351D"/>
    <w:rsid w:val="00DC2FB4"/>
    <w:rsid w:val="00DC6263"/>
    <w:rsid w:val="00DD1CEA"/>
    <w:rsid w:val="00DE7793"/>
    <w:rsid w:val="00DF631E"/>
    <w:rsid w:val="00E007DD"/>
    <w:rsid w:val="00E06044"/>
    <w:rsid w:val="00E1065B"/>
    <w:rsid w:val="00E12969"/>
    <w:rsid w:val="00E33628"/>
    <w:rsid w:val="00E424DA"/>
    <w:rsid w:val="00E44191"/>
    <w:rsid w:val="00E726F1"/>
    <w:rsid w:val="00E803E1"/>
    <w:rsid w:val="00E90AAE"/>
    <w:rsid w:val="00E97C14"/>
    <w:rsid w:val="00EB6D0C"/>
    <w:rsid w:val="00EC05D1"/>
    <w:rsid w:val="00EC0E41"/>
    <w:rsid w:val="00EC3345"/>
    <w:rsid w:val="00ED77EC"/>
    <w:rsid w:val="00EF4C6F"/>
    <w:rsid w:val="00F01DE2"/>
    <w:rsid w:val="00F41506"/>
    <w:rsid w:val="00F41614"/>
    <w:rsid w:val="00F41AE9"/>
    <w:rsid w:val="00F578B6"/>
    <w:rsid w:val="00F57D41"/>
    <w:rsid w:val="00F652F1"/>
    <w:rsid w:val="00F7197E"/>
    <w:rsid w:val="00F7395B"/>
    <w:rsid w:val="00F86C8E"/>
    <w:rsid w:val="00F951A2"/>
    <w:rsid w:val="00FA123A"/>
    <w:rsid w:val="00FC02EB"/>
    <w:rsid w:val="00FC7DC8"/>
    <w:rsid w:val="08305DEE"/>
    <w:rsid w:val="0A6523F4"/>
    <w:rsid w:val="0C8F17D8"/>
    <w:rsid w:val="130D144A"/>
    <w:rsid w:val="1D6D1654"/>
    <w:rsid w:val="201209AE"/>
    <w:rsid w:val="267A355C"/>
    <w:rsid w:val="297775F8"/>
    <w:rsid w:val="2ACD0118"/>
    <w:rsid w:val="2D373737"/>
    <w:rsid w:val="3443741A"/>
    <w:rsid w:val="3D4C5F1D"/>
    <w:rsid w:val="44136A7F"/>
    <w:rsid w:val="4B473790"/>
    <w:rsid w:val="56F50139"/>
    <w:rsid w:val="5C196196"/>
    <w:rsid w:val="648604FA"/>
    <w:rsid w:val="65C40980"/>
    <w:rsid w:val="6B6F71ED"/>
    <w:rsid w:val="6CBD693E"/>
    <w:rsid w:val="6E810366"/>
    <w:rsid w:val="6F006C85"/>
    <w:rsid w:val="72C5601A"/>
    <w:rsid w:val="7EB64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64" w:lineRule="auto"/>
    </w:pPr>
    <w:rPr>
      <w:rFonts w:asciiTheme="minorHAnsi" w:hAnsiTheme="minorHAnsi" w:eastAsiaTheme="minorHAnsi" w:cstheme="minorBidi"/>
      <w:lang w:val="en-US" w:eastAsia="en-US" w:bidi="ar-SA"/>
    </w:rPr>
  </w:style>
  <w:style w:type="paragraph" w:styleId="2">
    <w:name w:val="heading 1"/>
    <w:basedOn w:val="1"/>
    <w:next w:val="1"/>
    <w:link w:val="25"/>
    <w:qFormat/>
    <w:uiPriority w:val="9"/>
    <w:pPr>
      <w:keepNext/>
      <w:keepLines/>
      <w:spacing w:before="320" w:after="0" w:line="240" w:lineRule="auto"/>
      <w:outlineLvl w:val="0"/>
    </w:pPr>
    <w:rPr>
      <w:rFonts w:ascii="Calibri Light" w:hAnsi="Calibri Light" w:eastAsia="SimSun" w:cs="Times New Roman"/>
      <w:color w:val="2E74B5"/>
      <w:sz w:val="32"/>
      <w:szCs w:val="32"/>
    </w:rPr>
  </w:style>
  <w:style w:type="paragraph" w:styleId="3">
    <w:name w:val="heading 2"/>
    <w:basedOn w:val="1"/>
    <w:next w:val="1"/>
    <w:link w:val="26"/>
    <w:unhideWhenUsed/>
    <w:qFormat/>
    <w:uiPriority w:val="9"/>
    <w:pPr>
      <w:keepNext/>
      <w:keepLines/>
      <w:spacing w:before="80" w:after="0" w:line="240" w:lineRule="auto"/>
      <w:outlineLvl w:val="1"/>
    </w:pPr>
    <w:rPr>
      <w:rFonts w:ascii="Calibri Light" w:hAnsi="Calibri Light" w:eastAsia="SimSun" w:cs="Times New Roman"/>
      <w:color w:val="404040"/>
      <w:sz w:val="28"/>
      <w:szCs w:val="28"/>
    </w:rPr>
  </w:style>
  <w:style w:type="paragraph" w:styleId="4">
    <w:name w:val="heading 3"/>
    <w:basedOn w:val="1"/>
    <w:next w:val="1"/>
    <w:link w:val="27"/>
    <w:unhideWhenUsed/>
    <w:qFormat/>
    <w:uiPriority w:val="9"/>
    <w:pPr>
      <w:keepNext/>
      <w:keepLines/>
      <w:spacing w:before="40" w:after="0" w:line="240" w:lineRule="auto"/>
      <w:outlineLvl w:val="2"/>
    </w:pPr>
    <w:rPr>
      <w:rFonts w:ascii="Calibri Light" w:hAnsi="Calibri Light" w:eastAsia="SimSun" w:cs="Times New Roman"/>
      <w:color w:val="44546A"/>
      <w:sz w:val="24"/>
      <w:szCs w:val="24"/>
    </w:rPr>
  </w:style>
  <w:style w:type="paragraph" w:styleId="5">
    <w:name w:val="heading 4"/>
    <w:basedOn w:val="1"/>
    <w:next w:val="1"/>
    <w:link w:val="28"/>
    <w:semiHidden/>
    <w:unhideWhenUsed/>
    <w:qFormat/>
    <w:uiPriority w:val="9"/>
    <w:pPr>
      <w:keepNext/>
      <w:keepLines/>
      <w:spacing w:before="40" w:after="0"/>
      <w:outlineLvl w:val="3"/>
    </w:pPr>
    <w:rPr>
      <w:rFonts w:ascii="Calibri Light" w:hAnsi="Calibri Light" w:eastAsia="SimSun" w:cs="Times New Roman"/>
      <w:sz w:val="22"/>
      <w:szCs w:val="22"/>
    </w:rPr>
  </w:style>
  <w:style w:type="paragraph" w:styleId="6">
    <w:name w:val="heading 5"/>
    <w:basedOn w:val="1"/>
    <w:next w:val="1"/>
    <w:link w:val="29"/>
    <w:semiHidden/>
    <w:unhideWhenUsed/>
    <w:qFormat/>
    <w:uiPriority w:val="9"/>
    <w:pPr>
      <w:keepNext/>
      <w:keepLines/>
      <w:spacing w:before="40" w:after="0"/>
      <w:outlineLvl w:val="4"/>
    </w:pPr>
    <w:rPr>
      <w:rFonts w:ascii="Calibri Light" w:hAnsi="Calibri Light" w:eastAsia="SimSun" w:cs="Times New Roman"/>
      <w:color w:val="44546A"/>
      <w:sz w:val="22"/>
      <w:szCs w:val="22"/>
    </w:rPr>
  </w:style>
  <w:style w:type="paragraph" w:styleId="7">
    <w:name w:val="heading 6"/>
    <w:basedOn w:val="1"/>
    <w:next w:val="1"/>
    <w:link w:val="30"/>
    <w:semiHidden/>
    <w:unhideWhenUsed/>
    <w:qFormat/>
    <w:uiPriority w:val="9"/>
    <w:pPr>
      <w:keepNext/>
      <w:keepLines/>
      <w:spacing w:before="40" w:after="0"/>
      <w:outlineLvl w:val="5"/>
    </w:pPr>
    <w:rPr>
      <w:rFonts w:ascii="Calibri Light" w:hAnsi="Calibri Light" w:eastAsia="SimSun" w:cs="Times New Roman"/>
      <w:i/>
      <w:iCs/>
      <w:color w:val="44546A"/>
      <w:sz w:val="21"/>
      <w:szCs w:val="21"/>
    </w:rPr>
  </w:style>
  <w:style w:type="paragraph" w:styleId="8">
    <w:name w:val="heading 7"/>
    <w:basedOn w:val="1"/>
    <w:next w:val="1"/>
    <w:link w:val="31"/>
    <w:semiHidden/>
    <w:unhideWhenUsed/>
    <w:qFormat/>
    <w:uiPriority w:val="9"/>
    <w:pPr>
      <w:keepNext/>
      <w:keepLines/>
      <w:spacing w:before="40" w:after="0"/>
      <w:outlineLvl w:val="6"/>
    </w:pPr>
    <w:rPr>
      <w:rFonts w:ascii="Calibri Light" w:hAnsi="Calibri Light" w:eastAsia="SimSun" w:cs="Times New Roman"/>
      <w:i/>
      <w:iCs/>
      <w:color w:val="1F4E79"/>
      <w:sz w:val="21"/>
      <w:szCs w:val="21"/>
    </w:rPr>
  </w:style>
  <w:style w:type="paragraph" w:styleId="9">
    <w:name w:val="heading 8"/>
    <w:basedOn w:val="1"/>
    <w:next w:val="1"/>
    <w:link w:val="32"/>
    <w:semiHidden/>
    <w:unhideWhenUsed/>
    <w:qFormat/>
    <w:uiPriority w:val="9"/>
    <w:pPr>
      <w:keepNext/>
      <w:keepLines/>
      <w:spacing w:before="40" w:after="0"/>
      <w:outlineLvl w:val="7"/>
    </w:pPr>
    <w:rPr>
      <w:rFonts w:ascii="Calibri Light" w:hAnsi="Calibri Light" w:eastAsia="SimSun" w:cs="Times New Roman"/>
      <w:b/>
      <w:bCs/>
      <w:color w:val="44546A"/>
    </w:rPr>
  </w:style>
  <w:style w:type="paragraph" w:styleId="10">
    <w:name w:val="heading 9"/>
    <w:basedOn w:val="1"/>
    <w:next w:val="1"/>
    <w:link w:val="33"/>
    <w:semiHidden/>
    <w:unhideWhenUsed/>
    <w:qFormat/>
    <w:uiPriority w:val="9"/>
    <w:pPr>
      <w:keepNext/>
      <w:keepLines/>
      <w:spacing w:before="40" w:after="0"/>
      <w:outlineLvl w:val="8"/>
    </w:pPr>
    <w:rPr>
      <w:rFonts w:ascii="Calibri Light" w:hAnsi="Calibri Light" w:eastAsia="SimSun" w:cs="Times New Roman"/>
      <w:b/>
      <w:bCs/>
      <w:i/>
      <w:iCs/>
      <w:color w:val="44546A"/>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53"/>
    <w:semiHidden/>
    <w:unhideWhenUsed/>
    <w:uiPriority w:val="99"/>
    <w:pPr>
      <w:spacing w:after="0" w:line="240" w:lineRule="auto"/>
    </w:pPr>
    <w:rPr>
      <w:rFonts w:ascii="Segoe UI" w:hAnsi="Segoe UI" w:cs="Segoe UI"/>
      <w:sz w:val="18"/>
      <w:szCs w:val="18"/>
    </w:rPr>
  </w:style>
  <w:style w:type="paragraph" w:styleId="14">
    <w:name w:val="caption"/>
    <w:basedOn w:val="1"/>
    <w:next w:val="1"/>
    <w:semiHidden/>
    <w:unhideWhenUsed/>
    <w:qFormat/>
    <w:uiPriority w:val="35"/>
    <w:pPr>
      <w:spacing w:line="240" w:lineRule="auto"/>
    </w:pPr>
    <w:rPr>
      <w:b/>
      <w:bCs/>
      <w:smallCaps/>
      <w:color w:val="595959"/>
      <w:spacing w:val="6"/>
    </w:rPr>
  </w:style>
  <w:style w:type="character" w:styleId="15">
    <w:name w:val="Emphasis"/>
    <w:qFormat/>
    <w:uiPriority w:val="20"/>
    <w:rPr>
      <w:i/>
      <w:iCs/>
    </w:rPr>
  </w:style>
  <w:style w:type="character" w:styleId="16">
    <w:name w:val="FollowedHyperlink"/>
    <w:basedOn w:val="11"/>
    <w:semiHidden/>
    <w:unhideWhenUsed/>
    <w:uiPriority w:val="99"/>
    <w:rPr>
      <w:color w:val="954F72" w:themeColor="followedHyperlink"/>
      <w:u w:val="single"/>
      <w14:textFill>
        <w14:solidFill>
          <w14:schemeClr w14:val="folHlink"/>
        </w14:solidFill>
      </w14:textFill>
    </w:rPr>
  </w:style>
  <w:style w:type="paragraph" w:styleId="17">
    <w:name w:val="footer"/>
    <w:basedOn w:val="1"/>
    <w:link w:val="52"/>
    <w:unhideWhenUsed/>
    <w:uiPriority w:val="99"/>
    <w:pPr>
      <w:tabs>
        <w:tab w:val="center" w:pos="4844"/>
        <w:tab w:val="right" w:pos="9689"/>
      </w:tabs>
      <w:spacing w:after="0" w:line="240" w:lineRule="auto"/>
    </w:pPr>
  </w:style>
  <w:style w:type="paragraph" w:styleId="18">
    <w:name w:val="header"/>
    <w:basedOn w:val="1"/>
    <w:link w:val="51"/>
    <w:unhideWhenUsed/>
    <w:qFormat/>
    <w:uiPriority w:val="99"/>
    <w:pPr>
      <w:tabs>
        <w:tab w:val="center" w:pos="4844"/>
        <w:tab w:val="right" w:pos="9689"/>
      </w:tabs>
      <w:spacing w:after="0" w:line="240" w:lineRule="auto"/>
    </w:pPr>
  </w:style>
  <w:style w:type="character" w:styleId="19">
    <w:name w:val="Hyperlink"/>
    <w:basedOn w:val="11"/>
    <w:unhideWhenUsed/>
    <w:uiPriority w:val="99"/>
    <w:rPr>
      <w:color w:val="0000FF"/>
      <w:u w:val="single"/>
    </w:rPr>
  </w:style>
  <w:style w:type="paragraph" w:styleId="20">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21">
    <w:name w:val="Strong"/>
    <w:qFormat/>
    <w:uiPriority w:val="22"/>
    <w:rPr>
      <w:b/>
      <w:bCs/>
    </w:rPr>
  </w:style>
  <w:style w:type="paragraph" w:styleId="22">
    <w:name w:val="Subtitle"/>
    <w:basedOn w:val="1"/>
    <w:next w:val="1"/>
    <w:link w:val="35"/>
    <w:qFormat/>
    <w:uiPriority w:val="11"/>
    <w:pPr>
      <w:spacing w:line="240" w:lineRule="auto"/>
    </w:pPr>
    <w:rPr>
      <w:rFonts w:ascii="Calibri Light" w:hAnsi="Calibri Light" w:eastAsia="SimSun" w:cs="Times New Roman"/>
      <w:sz w:val="24"/>
      <w:szCs w:val="24"/>
    </w:rPr>
  </w:style>
  <w:style w:type="table" w:styleId="23">
    <w:name w:val="Table Grid"/>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Title"/>
    <w:basedOn w:val="1"/>
    <w:next w:val="1"/>
    <w:link w:val="34"/>
    <w:qFormat/>
    <w:uiPriority w:val="10"/>
    <w:pPr>
      <w:spacing w:after="0" w:line="240" w:lineRule="auto"/>
      <w:contextualSpacing/>
    </w:pPr>
    <w:rPr>
      <w:rFonts w:ascii="Calibri Light" w:hAnsi="Calibri Light" w:eastAsia="SimSun" w:cs="Times New Roman"/>
      <w:color w:val="5B9BD5"/>
      <w:spacing w:val="-10"/>
      <w:sz w:val="56"/>
      <w:szCs w:val="56"/>
    </w:rPr>
  </w:style>
  <w:style w:type="character" w:customStyle="1" w:styleId="25">
    <w:name w:val="Heading 1 Char"/>
    <w:link w:val="2"/>
    <w:qFormat/>
    <w:uiPriority w:val="9"/>
    <w:rPr>
      <w:rFonts w:ascii="Calibri Light" w:hAnsi="Calibri Light" w:eastAsia="SimSun" w:cs="Times New Roman"/>
      <w:color w:val="2E74B5"/>
      <w:sz w:val="32"/>
      <w:szCs w:val="32"/>
    </w:rPr>
  </w:style>
  <w:style w:type="character" w:customStyle="1" w:styleId="26">
    <w:name w:val="Heading 2 Char"/>
    <w:link w:val="3"/>
    <w:uiPriority w:val="9"/>
    <w:rPr>
      <w:rFonts w:ascii="Calibri Light" w:hAnsi="Calibri Light" w:eastAsia="SimSun" w:cs="Times New Roman"/>
      <w:color w:val="404040"/>
      <w:sz w:val="28"/>
      <w:szCs w:val="28"/>
    </w:rPr>
  </w:style>
  <w:style w:type="character" w:customStyle="1" w:styleId="27">
    <w:name w:val="Heading 3 Char"/>
    <w:link w:val="4"/>
    <w:uiPriority w:val="9"/>
    <w:rPr>
      <w:rFonts w:ascii="Calibri Light" w:hAnsi="Calibri Light" w:eastAsia="SimSun" w:cs="Times New Roman"/>
      <w:color w:val="44546A"/>
      <w:sz w:val="24"/>
      <w:szCs w:val="24"/>
    </w:rPr>
  </w:style>
  <w:style w:type="character" w:customStyle="1" w:styleId="28">
    <w:name w:val="Heading 4 Char"/>
    <w:link w:val="5"/>
    <w:semiHidden/>
    <w:uiPriority w:val="9"/>
    <w:rPr>
      <w:rFonts w:ascii="Calibri Light" w:hAnsi="Calibri Light" w:eastAsia="SimSun" w:cs="Times New Roman"/>
      <w:sz w:val="22"/>
      <w:szCs w:val="22"/>
    </w:rPr>
  </w:style>
  <w:style w:type="character" w:customStyle="1" w:styleId="29">
    <w:name w:val="Heading 5 Char"/>
    <w:link w:val="6"/>
    <w:semiHidden/>
    <w:uiPriority w:val="9"/>
    <w:rPr>
      <w:rFonts w:ascii="Calibri Light" w:hAnsi="Calibri Light" w:eastAsia="SimSun" w:cs="Times New Roman"/>
      <w:color w:val="44546A"/>
      <w:sz w:val="22"/>
      <w:szCs w:val="22"/>
    </w:rPr>
  </w:style>
  <w:style w:type="character" w:customStyle="1" w:styleId="30">
    <w:name w:val="Heading 6 Char"/>
    <w:link w:val="7"/>
    <w:semiHidden/>
    <w:uiPriority w:val="9"/>
    <w:rPr>
      <w:rFonts w:ascii="Calibri Light" w:hAnsi="Calibri Light" w:eastAsia="SimSun" w:cs="Times New Roman"/>
      <w:i/>
      <w:iCs/>
      <w:color w:val="44546A"/>
      <w:sz w:val="21"/>
      <w:szCs w:val="21"/>
    </w:rPr>
  </w:style>
  <w:style w:type="character" w:customStyle="1" w:styleId="31">
    <w:name w:val="Heading 7 Char"/>
    <w:link w:val="8"/>
    <w:semiHidden/>
    <w:uiPriority w:val="9"/>
    <w:rPr>
      <w:rFonts w:ascii="Calibri Light" w:hAnsi="Calibri Light" w:eastAsia="SimSun" w:cs="Times New Roman"/>
      <w:i/>
      <w:iCs/>
      <w:color w:val="1F4E79"/>
      <w:sz w:val="21"/>
      <w:szCs w:val="21"/>
    </w:rPr>
  </w:style>
  <w:style w:type="character" w:customStyle="1" w:styleId="32">
    <w:name w:val="Heading 8 Char"/>
    <w:link w:val="9"/>
    <w:semiHidden/>
    <w:uiPriority w:val="9"/>
    <w:rPr>
      <w:rFonts w:ascii="Calibri Light" w:hAnsi="Calibri Light" w:eastAsia="SimSun" w:cs="Times New Roman"/>
      <w:b/>
      <w:bCs/>
      <w:color w:val="44546A"/>
    </w:rPr>
  </w:style>
  <w:style w:type="character" w:customStyle="1" w:styleId="33">
    <w:name w:val="Heading 9 Char"/>
    <w:link w:val="10"/>
    <w:semiHidden/>
    <w:uiPriority w:val="9"/>
    <w:rPr>
      <w:rFonts w:ascii="Calibri Light" w:hAnsi="Calibri Light" w:eastAsia="SimSun" w:cs="Times New Roman"/>
      <w:b/>
      <w:bCs/>
      <w:i/>
      <w:iCs/>
      <w:color w:val="44546A"/>
    </w:rPr>
  </w:style>
  <w:style w:type="character" w:customStyle="1" w:styleId="34">
    <w:name w:val="Title Char"/>
    <w:link w:val="24"/>
    <w:qFormat/>
    <w:uiPriority w:val="10"/>
    <w:rPr>
      <w:rFonts w:ascii="Calibri Light" w:hAnsi="Calibri Light" w:eastAsia="SimSun" w:cs="Times New Roman"/>
      <w:color w:val="5B9BD5"/>
      <w:spacing w:val="-10"/>
      <w:sz w:val="56"/>
      <w:szCs w:val="56"/>
    </w:rPr>
  </w:style>
  <w:style w:type="character" w:customStyle="1" w:styleId="35">
    <w:name w:val="Subtitle Char"/>
    <w:link w:val="22"/>
    <w:qFormat/>
    <w:uiPriority w:val="11"/>
    <w:rPr>
      <w:rFonts w:ascii="Calibri Light" w:hAnsi="Calibri Light" w:eastAsia="SimSun" w:cs="Times New Roman"/>
      <w:sz w:val="24"/>
      <w:szCs w:val="24"/>
    </w:rPr>
  </w:style>
  <w:style w:type="paragraph" w:styleId="36">
    <w:name w:val="No Spacing"/>
    <w:qFormat/>
    <w:uiPriority w:val="1"/>
    <w:pPr>
      <w:spacing w:after="0" w:line="240" w:lineRule="auto"/>
    </w:pPr>
    <w:rPr>
      <w:rFonts w:asciiTheme="minorHAnsi" w:hAnsiTheme="minorHAnsi" w:eastAsiaTheme="minorHAnsi" w:cstheme="minorBidi"/>
      <w:lang w:val="en-US" w:eastAsia="en-US" w:bidi="ar-SA"/>
    </w:rPr>
  </w:style>
  <w:style w:type="paragraph" w:styleId="37">
    <w:name w:val="Quote"/>
    <w:basedOn w:val="1"/>
    <w:next w:val="1"/>
    <w:link w:val="38"/>
    <w:qFormat/>
    <w:uiPriority w:val="29"/>
    <w:pPr>
      <w:spacing w:before="160"/>
      <w:ind w:left="720" w:right="720"/>
    </w:pPr>
    <w:rPr>
      <w:i/>
      <w:iCs/>
      <w:color w:val="404040"/>
    </w:rPr>
  </w:style>
  <w:style w:type="character" w:customStyle="1" w:styleId="38">
    <w:name w:val="Quote Char"/>
    <w:link w:val="37"/>
    <w:uiPriority w:val="29"/>
    <w:rPr>
      <w:i/>
      <w:iCs/>
      <w:color w:val="404040"/>
    </w:rPr>
  </w:style>
  <w:style w:type="paragraph" w:styleId="39">
    <w:name w:val="Intense Quote"/>
    <w:basedOn w:val="1"/>
    <w:next w:val="1"/>
    <w:link w:val="40"/>
    <w:qFormat/>
    <w:uiPriority w:val="30"/>
    <w:pPr>
      <w:pBdr>
        <w:left w:val="single" w:color="5B9BD5" w:sz="18" w:space="12"/>
      </w:pBdr>
      <w:spacing w:before="100" w:beforeAutospacing="1" w:line="300" w:lineRule="auto"/>
      <w:ind w:left="1224" w:right="1224"/>
    </w:pPr>
    <w:rPr>
      <w:rFonts w:ascii="Calibri Light" w:hAnsi="Calibri Light" w:eastAsia="SimSun" w:cs="Times New Roman"/>
      <w:color w:val="5B9BD5"/>
      <w:sz w:val="28"/>
      <w:szCs w:val="28"/>
    </w:rPr>
  </w:style>
  <w:style w:type="character" w:customStyle="1" w:styleId="40">
    <w:name w:val="Intense Quote Char"/>
    <w:link w:val="39"/>
    <w:uiPriority w:val="30"/>
    <w:rPr>
      <w:rFonts w:ascii="Calibri Light" w:hAnsi="Calibri Light" w:eastAsia="SimSun" w:cs="Times New Roman"/>
      <w:color w:val="5B9BD5"/>
      <w:sz w:val="28"/>
      <w:szCs w:val="28"/>
    </w:rPr>
  </w:style>
  <w:style w:type="character" w:customStyle="1" w:styleId="41">
    <w:name w:val="Subtle Emphasis"/>
    <w:qFormat/>
    <w:uiPriority w:val="19"/>
    <w:rPr>
      <w:i/>
      <w:iCs/>
      <w:color w:val="404040"/>
    </w:rPr>
  </w:style>
  <w:style w:type="character" w:customStyle="1" w:styleId="42">
    <w:name w:val="Intense Emphasis"/>
    <w:qFormat/>
    <w:uiPriority w:val="21"/>
    <w:rPr>
      <w:b/>
      <w:bCs/>
      <w:i/>
      <w:iCs/>
    </w:rPr>
  </w:style>
  <w:style w:type="character" w:customStyle="1" w:styleId="43">
    <w:name w:val="Subtle Reference"/>
    <w:qFormat/>
    <w:uiPriority w:val="31"/>
    <w:rPr>
      <w:smallCaps/>
      <w:color w:val="404040"/>
      <w:u w:val="single" w:color="7F7F7F"/>
    </w:rPr>
  </w:style>
  <w:style w:type="character" w:customStyle="1" w:styleId="44">
    <w:name w:val="Intense Reference"/>
    <w:qFormat/>
    <w:uiPriority w:val="32"/>
    <w:rPr>
      <w:b/>
      <w:bCs/>
      <w:smallCaps/>
      <w:spacing w:val="5"/>
      <w:u w:val="single"/>
    </w:rPr>
  </w:style>
  <w:style w:type="character" w:customStyle="1" w:styleId="45">
    <w:name w:val="Book Title"/>
    <w:qFormat/>
    <w:uiPriority w:val="33"/>
    <w:rPr>
      <w:b/>
      <w:bCs/>
      <w:smallCaps/>
    </w:rPr>
  </w:style>
  <w:style w:type="paragraph" w:customStyle="1" w:styleId="46">
    <w:name w:val="TOC Heading"/>
    <w:basedOn w:val="2"/>
    <w:next w:val="1"/>
    <w:semiHidden/>
    <w:unhideWhenUsed/>
    <w:qFormat/>
    <w:uiPriority w:val="39"/>
    <w:pPr>
      <w:outlineLvl w:val="9"/>
    </w:pPr>
  </w:style>
  <w:style w:type="paragraph" w:customStyle="1" w:styleId="47">
    <w:name w:val="3976872charactercount"/>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48">
    <w:name w:val="List Paragraph"/>
    <w:basedOn w:val="1"/>
    <w:qFormat/>
    <w:uiPriority w:val="34"/>
    <w:pPr>
      <w:ind w:left="720"/>
      <w:contextualSpacing/>
    </w:pPr>
  </w:style>
  <w:style w:type="paragraph" w:customStyle="1" w:styleId="49">
    <w:name w:val="Body"/>
    <w:qFormat/>
    <w:uiPriority w:val="0"/>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Helvetica Neue" w:hAnsi="Helvetica Neue" w:eastAsia="Arial Unicode MS" w:cs="Arial Unicode MS"/>
      <w:color w:val="000000"/>
      <w:sz w:val="22"/>
      <w:szCs w:val="22"/>
      <w:lang w:val="en-US" w:eastAsia="en-US" w:bidi="ar-SA"/>
    </w:rPr>
  </w:style>
  <w:style w:type="paragraph" w:customStyle="1" w:styleId="50">
    <w:name w:val="Table Style 2"/>
    <w:qFormat/>
    <w:uiPriority w:val="0"/>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Helvetica Neue" w:hAnsi="Helvetica Neue" w:eastAsia="Arial Unicode MS" w:cs="Arial Unicode MS"/>
      <w:color w:val="000000"/>
      <w:lang w:val="en-US" w:eastAsia="en-US" w:bidi="ar-SA"/>
    </w:rPr>
  </w:style>
  <w:style w:type="character" w:customStyle="1" w:styleId="51">
    <w:name w:val="Header Char"/>
    <w:basedOn w:val="11"/>
    <w:link w:val="18"/>
    <w:uiPriority w:val="99"/>
  </w:style>
  <w:style w:type="character" w:customStyle="1" w:styleId="52">
    <w:name w:val="Footer Char"/>
    <w:basedOn w:val="11"/>
    <w:link w:val="17"/>
    <w:uiPriority w:val="99"/>
  </w:style>
  <w:style w:type="character" w:customStyle="1" w:styleId="53">
    <w:name w:val="Balloon Text Char"/>
    <w:basedOn w:val="11"/>
    <w:link w:val="13"/>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78793-216D-4493-83BE-D0ABAF0A9724}">
  <ds:schemaRefs/>
</ds:datastoreItem>
</file>

<file path=docProps/app.xml><?xml version="1.0" encoding="utf-8"?>
<Properties xmlns="http://schemas.openxmlformats.org/officeDocument/2006/extended-properties" xmlns:vt="http://schemas.openxmlformats.org/officeDocument/2006/docPropsVTypes">
  <Template>Normal</Template>
  <Pages>7</Pages>
  <Words>2042</Words>
  <Characters>12322</Characters>
  <Lines>385</Lines>
  <Paragraphs>247</Paragraphs>
  <TotalTime>1</TotalTime>
  <ScaleCrop>false</ScaleCrop>
  <LinksUpToDate>false</LinksUpToDate>
  <CharactersWithSpaces>14117</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2024-08-20T06:03:00Z</dcterms:created>
  <dc:creator>Juldyz Smagulova</dc:creator>
  <cp:lastModifiedBy>Francis Amagoh</cp:lastModifiedBy>
  <cp:lastPrinted>2024-08-27T12:07:00Z</cp:lastPrinted>
  <dcterms:modified xsi:type="dcterms:W3CDTF">2025-08-20T13:19:55Z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9cd259f6b2de8d5c199371d7be3e8d521257d0d0a50cc0a50f6309d6ba7e2cdb</vt:lpwstr>
  </property>
  <property fmtid="{D5CDD505-2E9C-101B-9397-08002B2CF9AE}" pid="3" name="KSOProductBuildVer">
    <vt:lpwstr>1033-12.2.0.21931</vt:lpwstr>
  </property>
  <property fmtid="{D5CDD505-2E9C-101B-9397-08002B2CF9AE}" pid="4" name="ICV">
    <vt:lpwstr>AFDF0AF92CCC41CF901C71438EA663CC_13</vt:lpwstr>
  </property>
</Properties>
</file>